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7C6" w:rsidRDefault="009427C6"/>
    <w:p w:rsidR="009427C6" w:rsidRDefault="009427C6"/>
    <w:p w:rsidR="009427C6" w:rsidRDefault="00511D3E">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海西蒙古族藏族自治州旅游</w:t>
      </w:r>
      <w:bookmarkStart w:id="0" w:name="_GoBack"/>
      <w:bookmarkEnd w:id="0"/>
      <w:r>
        <w:rPr>
          <w:rFonts w:asciiTheme="minorEastAsia" w:eastAsiaTheme="minorEastAsia" w:hAnsiTheme="minorEastAsia" w:cstheme="minorEastAsia" w:hint="eastAsia"/>
          <w:sz w:val="44"/>
          <w:szCs w:val="44"/>
        </w:rPr>
        <w:t>景区管理条例</w:t>
      </w:r>
    </w:p>
    <w:p w:rsidR="009427C6" w:rsidRDefault="009427C6"/>
    <w:p w:rsidR="009427C6" w:rsidRDefault="00511D3E">
      <w:pPr>
        <w:ind w:left="632" w:rightChars="195" w:right="616" w:hangingChars="200" w:hanging="632"/>
      </w:pPr>
      <w:r>
        <w:rPr>
          <w:rFonts w:hint="eastAsia"/>
        </w:rPr>
        <w:t xml:space="preserve">　　</w:t>
      </w:r>
      <w:r>
        <w:rPr>
          <w:rFonts w:ascii="楷体_GB2312" w:eastAsia="楷体_GB2312" w:hAnsi="楷体_GB2312" w:cs="楷体_GB2312" w:hint="eastAsia"/>
        </w:rPr>
        <w:t>（2013年3月9日海西蒙古族藏族自治州第十三届人民代表大会第四次会议通过　2013年5月30日青海省第十二届人民代表大会常务委员会第四次会议批准）</w:t>
      </w:r>
    </w:p>
    <w:p w:rsidR="009427C6" w:rsidRDefault="009427C6"/>
    <w:p w:rsidR="009427C6" w:rsidRDefault="00511D3E">
      <w:r>
        <w:rPr>
          <w:rFonts w:hint="eastAsia"/>
        </w:rPr>
        <w:t xml:space="preserve">　　</w:t>
      </w:r>
      <w:r>
        <w:rPr>
          <w:rFonts w:ascii="黑体" w:eastAsia="黑体" w:hAnsi="黑体" w:cs="黑体" w:hint="eastAsia"/>
        </w:rPr>
        <w:t>第一条</w:t>
      </w:r>
      <w:r>
        <w:rPr>
          <w:rFonts w:hint="eastAsia"/>
        </w:rPr>
        <w:t xml:space="preserve">　为加强自治州旅游景区管理，合理开发保护利用旅游资源，促进旅游业可持续发展，根据有关法律法规，结合本州实际，制定本条例。</w:t>
      </w:r>
    </w:p>
    <w:p w:rsidR="009427C6" w:rsidRDefault="00511D3E">
      <w:r>
        <w:rPr>
          <w:rFonts w:hint="eastAsia"/>
        </w:rPr>
        <w:t xml:space="preserve">　</w:t>
      </w:r>
      <w:r>
        <w:rPr>
          <w:rFonts w:ascii="黑体" w:eastAsia="黑体" w:hAnsi="黑体" w:cs="黑体" w:hint="eastAsia"/>
        </w:rPr>
        <w:t xml:space="preserve">　第二条</w:t>
      </w:r>
      <w:r>
        <w:rPr>
          <w:rFonts w:hint="eastAsia"/>
        </w:rPr>
        <w:t xml:space="preserve">　自治州旅游景区的规划、建设、保护、管理和经营活动适用本条例。</w:t>
      </w:r>
    </w:p>
    <w:p w:rsidR="009427C6" w:rsidRDefault="00511D3E">
      <w:r>
        <w:rPr>
          <w:rFonts w:hint="eastAsia"/>
        </w:rPr>
        <w:t xml:space="preserve">　</w:t>
      </w:r>
      <w:r>
        <w:rPr>
          <w:rFonts w:ascii="黑体" w:eastAsia="黑体" w:hAnsi="黑体" w:cs="黑体" w:hint="eastAsia"/>
        </w:rPr>
        <w:t xml:space="preserve">　第三条</w:t>
      </w:r>
      <w:r>
        <w:rPr>
          <w:rFonts w:hint="eastAsia"/>
        </w:rPr>
        <w:t xml:space="preserve">　本条例所称的旅游景区，是指能够满足游客游览观光、休闲娱乐、康体健身、求知探险等活动并提供旅游服务的独立管理区和县级以上人民政府划定为保护范围的区域。</w:t>
      </w:r>
    </w:p>
    <w:p w:rsidR="009427C6" w:rsidRDefault="00511D3E">
      <w:r>
        <w:rPr>
          <w:rFonts w:hint="eastAsia"/>
        </w:rPr>
        <w:t xml:space="preserve">　</w:t>
      </w:r>
      <w:r>
        <w:rPr>
          <w:rFonts w:ascii="黑体" w:eastAsia="黑体" w:hAnsi="黑体" w:cs="黑体" w:hint="eastAsia"/>
        </w:rPr>
        <w:t xml:space="preserve">　第四条</w:t>
      </w:r>
      <w:r>
        <w:rPr>
          <w:rFonts w:hint="eastAsia"/>
        </w:rPr>
        <w:t xml:space="preserve">　旅游景区的管理应当坚持科学规划、合理开发、严格保护、永续利用的原则，注重保护生态环境和历史文化。</w:t>
      </w:r>
    </w:p>
    <w:p w:rsidR="009427C6" w:rsidRDefault="00511D3E">
      <w:r>
        <w:rPr>
          <w:rFonts w:hint="eastAsia"/>
        </w:rPr>
        <w:t xml:space="preserve">　　</w:t>
      </w:r>
      <w:r>
        <w:rPr>
          <w:rFonts w:ascii="黑体" w:eastAsia="黑体" w:hAnsi="黑体" w:cs="黑体" w:hint="eastAsia"/>
        </w:rPr>
        <w:t>第五条</w:t>
      </w:r>
      <w:r>
        <w:rPr>
          <w:rFonts w:hint="eastAsia"/>
        </w:rPr>
        <w:t xml:space="preserve">　自治州、县（市）人民政府和行政区行政委员会应当将旅游景区的开发和保护纳入当地国民经济和社会发展规划。</w:t>
      </w:r>
    </w:p>
    <w:p w:rsidR="009427C6" w:rsidRDefault="00511D3E">
      <w:r>
        <w:rPr>
          <w:rFonts w:hint="eastAsia"/>
        </w:rPr>
        <w:t xml:space="preserve">　　鼓励经济组织及个人依法投资建设、经营旅游景区。</w:t>
      </w:r>
    </w:p>
    <w:p w:rsidR="009427C6" w:rsidRDefault="00511D3E">
      <w:r>
        <w:rPr>
          <w:rFonts w:hint="eastAsia"/>
        </w:rPr>
        <w:t xml:space="preserve">　　</w:t>
      </w:r>
      <w:r>
        <w:rPr>
          <w:rFonts w:ascii="黑体" w:eastAsia="黑体" w:hAnsi="黑体" w:cs="黑体" w:hint="eastAsia"/>
        </w:rPr>
        <w:t>第六条</w:t>
      </w:r>
      <w:r>
        <w:rPr>
          <w:rFonts w:hint="eastAsia"/>
        </w:rPr>
        <w:t xml:space="preserve">　自治州、县（市）人民政府和行政区行政委员会旅</w:t>
      </w:r>
      <w:r>
        <w:rPr>
          <w:rFonts w:hint="eastAsia"/>
        </w:rPr>
        <w:lastRenderedPageBreak/>
        <w:t>游行政管理部门是旅游景区管理的主管部门，负责本行政区域内旅游景区的建设规划、组织协调、行业指导和监督管理工作。</w:t>
      </w:r>
    </w:p>
    <w:p w:rsidR="009427C6" w:rsidRDefault="00511D3E">
      <w:r>
        <w:rPr>
          <w:rFonts w:hint="eastAsia"/>
        </w:rPr>
        <w:t xml:space="preserve">　　自治州、县（市）人民政府和行政区行政委员会其他有关行政主管部门，按照各自职责做好旅游景区管理的相关工作。</w:t>
      </w:r>
    </w:p>
    <w:p w:rsidR="009427C6" w:rsidRDefault="00511D3E">
      <w:r>
        <w:rPr>
          <w:rFonts w:hint="eastAsia"/>
        </w:rPr>
        <w:t xml:space="preserve">　　旅游景区所在地的乡、镇人民政府（街道办事处），村民（居民）委员会协助做好相关工作。</w:t>
      </w:r>
    </w:p>
    <w:p w:rsidR="009427C6" w:rsidRDefault="00511D3E">
      <w:r>
        <w:rPr>
          <w:rFonts w:ascii="黑体" w:eastAsia="黑体" w:hAnsi="黑体" w:cs="黑体" w:hint="eastAsia"/>
        </w:rPr>
        <w:t xml:space="preserve">　　第七条</w:t>
      </w:r>
      <w:r>
        <w:rPr>
          <w:rFonts w:hint="eastAsia"/>
        </w:rPr>
        <w:t xml:space="preserve">　自治州、县（市）人民政府和行政区行政委员会应当安排旅游发展专项资金，用于旅游景区的开发和保护。</w:t>
      </w:r>
    </w:p>
    <w:p w:rsidR="009427C6" w:rsidRDefault="00511D3E">
      <w:r>
        <w:rPr>
          <w:rFonts w:hint="eastAsia"/>
        </w:rPr>
        <w:t xml:space="preserve">　　对开发保护旅游景区成绩突出的公民、法人和其他组织，由自治州、县（市）人民政府和行政区行政委员会给予表彰奖励。</w:t>
      </w:r>
    </w:p>
    <w:p w:rsidR="009427C6" w:rsidRDefault="00511D3E">
      <w:r>
        <w:rPr>
          <w:rFonts w:hint="eastAsia"/>
        </w:rPr>
        <w:t xml:space="preserve">　</w:t>
      </w:r>
      <w:r>
        <w:rPr>
          <w:rFonts w:ascii="黑体" w:eastAsia="黑体" w:hAnsi="黑体" w:cs="黑体" w:hint="eastAsia"/>
        </w:rPr>
        <w:t xml:space="preserve">　第八条　</w:t>
      </w:r>
      <w:r>
        <w:rPr>
          <w:rFonts w:hint="eastAsia"/>
        </w:rPr>
        <w:t>自治州、县（市）人民政府和行政区行政委员会旅游行政管理部门应当会同有关部门对本行政区域内的旅游资源进行普查和评价，建立旅游资源档案，并按国家有关标准实施分级保护制度，指导旅游资源保护和开发。</w:t>
      </w:r>
    </w:p>
    <w:p w:rsidR="009427C6" w:rsidRDefault="00511D3E">
      <w:r>
        <w:rPr>
          <w:rFonts w:ascii="黑体" w:eastAsia="黑体" w:hAnsi="黑体" w:cs="黑体" w:hint="eastAsia"/>
        </w:rPr>
        <w:t xml:space="preserve">　　第九条</w:t>
      </w:r>
      <w:r>
        <w:rPr>
          <w:rFonts w:hint="eastAsia"/>
        </w:rPr>
        <w:t xml:space="preserve">　旅游景区开发建设规划，应当符合柴达木循环经济实验区总体规划和自治州、县（市）人民政府及行政区行政委员会城乡规划，并与土地利用、风景名胜区、森林（地质）公园自然保护区、生态和环境保护等专项规划相协调。</w:t>
      </w:r>
    </w:p>
    <w:p w:rsidR="009427C6" w:rsidRDefault="00511D3E">
      <w:r>
        <w:rPr>
          <w:rFonts w:hint="eastAsia"/>
        </w:rPr>
        <w:t xml:space="preserve">　</w:t>
      </w:r>
      <w:r>
        <w:rPr>
          <w:rFonts w:ascii="黑体" w:eastAsia="黑体" w:hAnsi="黑体" w:cs="黑体" w:hint="eastAsia"/>
        </w:rPr>
        <w:t xml:space="preserve">　第十条</w:t>
      </w:r>
      <w:r>
        <w:rPr>
          <w:rFonts w:hint="eastAsia"/>
        </w:rPr>
        <w:t xml:space="preserve">　旅游景区开发建设单位应当委托具有相应资质等级的旅游规划设计专业机构编制旅游景区规划，由上一级旅游主管部门组织评审后，报同级人民政府批准实施。</w:t>
      </w:r>
    </w:p>
    <w:p w:rsidR="009427C6" w:rsidRDefault="00511D3E">
      <w:r>
        <w:rPr>
          <w:rFonts w:hint="eastAsia"/>
        </w:rPr>
        <w:t xml:space="preserve">　　旅游景区规划未经批准的，不得在旅游景区内进行各类建设</w:t>
      </w:r>
      <w:r>
        <w:rPr>
          <w:rFonts w:hint="eastAsia"/>
        </w:rPr>
        <w:lastRenderedPageBreak/>
        <w:t>活动。</w:t>
      </w:r>
    </w:p>
    <w:p w:rsidR="009427C6" w:rsidRDefault="00511D3E">
      <w:r>
        <w:rPr>
          <w:rFonts w:ascii="黑体" w:eastAsia="黑体" w:hAnsi="黑体" w:cs="黑体" w:hint="eastAsia"/>
        </w:rPr>
        <w:t xml:space="preserve">　　第十一条　</w:t>
      </w:r>
      <w:r>
        <w:rPr>
          <w:rFonts w:hint="eastAsia"/>
        </w:rPr>
        <w:t>建设单位依据旅游景区规划提出开发建设方案后，政府相关行政主管部门对具备条件的给予办理立项、供地、建设等手续。</w:t>
      </w:r>
    </w:p>
    <w:p w:rsidR="009427C6" w:rsidRDefault="00511D3E">
      <w:r>
        <w:rPr>
          <w:rFonts w:hint="eastAsia"/>
        </w:rPr>
        <w:t xml:space="preserve">　　景区所在地人民政府应当充分考虑当地群众的利益，合理补偿因开发建设造成的损失，积极引导、支持当地群众发展旅游项目，改善群众生产生活条件，增加收入。</w:t>
      </w:r>
    </w:p>
    <w:p w:rsidR="009427C6" w:rsidRDefault="00511D3E">
      <w:r>
        <w:rPr>
          <w:rFonts w:hint="eastAsia"/>
        </w:rPr>
        <w:t xml:space="preserve">　</w:t>
      </w:r>
      <w:r>
        <w:rPr>
          <w:rFonts w:ascii="黑体" w:eastAsia="黑体" w:hAnsi="黑体" w:cs="黑体" w:hint="eastAsia"/>
        </w:rPr>
        <w:t xml:space="preserve">　第十二条</w:t>
      </w:r>
      <w:r>
        <w:rPr>
          <w:rFonts w:hint="eastAsia"/>
        </w:rPr>
        <w:t xml:space="preserve">　旅游景区开发建设不得超过景区的环境容量，其性质、布局、规模、造型、色调等应当与周围环境相协调。</w:t>
      </w:r>
    </w:p>
    <w:p w:rsidR="009427C6" w:rsidRDefault="00511D3E">
      <w:r>
        <w:rPr>
          <w:rFonts w:hint="eastAsia"/>
        </w:rPr>
        <w:t xml:space="preserve">　</w:t>
      </w:r>
      <w:r>
        <w:rPr>
          <w:rFonts w:ascii="黑体" w:eastAsia="黑体" w:hAnsi="黑体" w:cs="黑体" w:hint="eastAsia"/>
        </w:rPr>
        <w:t xml:space="preserve">　第十三条</w:t>
      </w:r>
      <w:r>
        <w:rPr>
          <w:rFonts w:hint="eastAsia"/>
        </w:rPr>
        <w:t xml:space="preserve">　开发古遗址、名人遗迹、历史纪念地、古寺庙等具有历史人文价值的旅游资源，应当保持原有的历史风貌和特色，未经文物行政主管部门批准，不得擅自挖掘、改建、迁移或者拆除。</w:t>
      </w:r>
    </w:p>
    <w:p w:rsidR="009427C6" w:rsidRDefault="00511D3E">
      <w:r>
        <w:rPr>
          <w:rFonts w:hint="eastAsia"/>
        </w:rPr>
        <w:t xml:space="preserve">　</w:t>
      </w:r>
      <w:r>
        <w:rPr>
          <w:rFonts w:ascii="黑体" w:eastAsia="黑体" w:hAnsi="黑体" w:cs="黑体" w:hint="eastAsia"/>
        </w:rPr>
        <w:t xml:space="preserve">　第十四条</w:t>
      </w:r>
      <w:r>
        <w:rPr>
          <w:rFonts w:hint="eastAsia"/>
        </w:rPr>
        <w:t xml:space="preserve">　旅游景区经营管理机构应当对规划范围内的文物古迹、古树名木、野生动植物资源、特殊地质地貌等重要景观进行调查、鉴定和登记，建立档案，制定相应的保护措施。</w:t>
      </w:r>
    </w:p>
    <w:p w:rsidR="009427C6" w:rsidRDefault="00511D3E">
      <w:r>
        <w:rPr>
          <w:rFonts w:hint="eastAsia"/>
        </w:rPr>
        <w:t xml:space="preserve">　</w:t>
      </w:r>
      <w:r>
        <w:rPr>
          <w:rFonts w:ascii="黑体" w:eastAsia="黑体" w:hAnsi="黑体" w:cs="黑体" w:hint="eastAsia"/>
        </w:rPr>
        <w:t xml:space="preserve">　第十五条</w:t>
      </w:r>
      <w:r>
        <w:rPr>
          <w:rFonts w:hint="eastAsia"/>
        </w:rPr>
        <w:t xml:space="preserve">　旅游景区经营管理机构应当制定景区管理的有关制度、措施和具体应急预案，按照有关规范和标准设置游客服务中心和游览导向、安全警示等公共信息图形标志。</w:t>
      </w:r>
    </w:p>
    <w:p w:rsidR="009427C6" w:rsidRDefault="00511D3E">
      <w:r>
        <w:rPr>
          <w:rFonts w:hint="eastAsia"/>
        </w:rPr>
        <w:t xml:space="preserve">　</w:t>
      </w:r>
      <w:r>
        <w:rPr>
          <w:rFonts w:ascii="黑体" w:eastAsia="黑体" w:hAnsi="黑体" w:cs="黑体" w:hint="eastAsia"/>
        </w:rPr>
        <w:t xml:space="preserve">　第十六条</w:t>
      </w:r>
      <w:r>
        <w:rPr>
          <w:rFonts w:hint="eastAsia"/>
        </w:rPr>
        <w:t xml:space="preserve">　旅游景区的经营管理机构应当对各类游乐设施及设备进行经常性保养，并定期进行检查，保证运营安全。</w:t>
      </w:r>
    </w:p>
    <w:p w:rsidR="009427C6" w:rsidRDefault="00511D3E">
      <w:r>
        <w:rPr>
          <w:rFonts w:hint="eastAsia"/>
        </w:rPr>
        <w:t xml:space="preserve">　</w:t>
      </w:r>
      <w:r>
        <w:rPr>
          <w:rFonts w:ascii="黑体" w:eastAsia="黑体" w:hAnsi="黑体" w:cs="黑体" w:hint="eastAsia"/>
        </w:rPr>
        <w:t xml:space="preserve">　第十七条　</w:t>
      </w:r>
      <w:r>
        <w:rPr>
          <w:rFonts w:hint="eastAsia"/>
        </w:rPr>
        <w:t>在旅游景区从事商业经营活动的单位和个人，按</w:t>
      </w:r>
      <w:r>
        <w:rPr>
          <w:rFonts w:hint="eastAsia"/>
        </w:rPr>
        <w:lastRenderedPageBreak/>
        <w:t>照核定的营业地点、经营范围开展经营活动，不得在核定的区域以外揽客、兜售商品或者提供其他服务，并接受有关部门的监督管理。</w:t>
      </w:r>
    </w:p>
    <w:p w:rsidR="009427C6" w:rsidRDefault="00511D3E">
      <w:r>
        <w:rPr>
          <w:rFonts w:hint="eastAsia"/>
        </w:rPr>
        <w:t xml:space="preserve">　</w:t>
      </w:r>
      <w:r>
        <w:rPr>
          <w:rFonts w:ascii="黑体" w:eastAsia="黑体" w:hAnsi="黑体" w:cs="黑体" w:hint="eastAsia"/>
        </w:rPr>
        <w:t xml:space="preserve">　第十八条　</w:t>
      </w:r>
      <w:r>
        <w:rPr>
          <w:rFonts w:hint="eastAsia"/>
        </w:rPr>
        <w:t>旅游景区内禁止从事破坏景观、植被、地形地貌的开矿、采石等活动。</w:t>
      </w:r>
    </w:p>
    <w:p w:rsidR="009427C6" w:rsidRDefault="00511D3E">
      <w:r>
        <w:rPr>
          <w:rFonts w:hint="eastAsia"/>
        </w:rPr>
        <w:t xml:space="preserve">　　旅游景区内不得堆放、贮存、处置废弃物和危险物品。</w:t>
      </w:r>
    </w:p>
    <w:p w:rsidR="009427C6" w:rsidRDefault="00511D3E">
      <w:r>
        <w:rPr>
          <w:rFonts w:ascii="黑体" w:eastAsia="黑体" w:hAnsi="黑体" w:cs="黑体" w:hint="eastAsia"/>
        </w:rPr>
        <w:t xml:space="preserve">　　第十九条　</w:t>
      </w:r>
      <w:r>
        <w:rPr>
          <w:rFonts w:hint="eastAsia"/>
        </w:rPr>
        <w:t>旅游景区门票和旅游景区内服务项目(包括游船、观光车等)的价格，实行政府定价或者政府指导价，具体定价办法由景区所在地县级以上人民政府确定。</w:t>
      </w:r>
    </w:p>
    <w:p w:rsidR="009427C6" w:rsidRDefault="00511D3E">
      <w:r>
        <w:rPr>
          <w:rFonts w:ascii="黑体" w:eastAsia="黑体" w:hAnsi="黑体" w:cs="黑体" w:hint="eastAsia"/>
        </w:rPr>
        <w:t xml:space="preserve">　　第二十条　</w:t>
      </w:r>
      <w:r>
        <w:rPr>
          <w:rFonts w:hint="eastAsia"/>
        </w:rPr>
        <w:t>旅游行政管理部门或者有关行政管理机关工作人员玩忽职守、违反规定作出行政许可、发现违法行为未依法查处的，由其所在单位、上级机关或者行政监察机关对相关责任人员进行问责并给予行政处分。</w:t>
      </w:r>
    </w:p>
    <w:p w:rsidR="009427C6" w:rsidRDefault="00511D3E">
      <w:r>
        <w:rPr>
          <w:rFonts w:hint="eastAsia"/>
        </w:rPr>
        <w:t xml:space="preserve">　</w:t>
      </w:r>
      <w:r>
        <w:rPr>
          <w:rFonts w:ascii="黑体" w:eastAsia="黑体" w:hAnsi="黑体" w:cs="黑体" w:hint="eastAsia"/>
        </w:rPr>
        <w:t xml:space="preserve">　第二十一条　</w:t>
      </w:r>
      <w:r>
        <w:rPr>
          <w:rFonts w:hint="eastAsia"/>
        </w:rPr>
        <w:t>违反本条例第十条第二款规定的，责令改正，并处十万元以上五十万元以下的罚款。</w:t>
      </w:r>
    </w:p>
    <w:p w:rsidR="009427C6" w:rsidRDefault="00511D3E">
      <w:r>
        <w:rPr>
          <w:rFonts w:hint="eastAsia"/>
        </w:rPr>
        <w:t xml:space="preserve">　</w:t>
      </w:r>
      <w:r>
        <w:rPr>
          <w:rFonts w:ascii="黑体" w:eastAsia="黑体" w:hAnsi="黑体" w:cs="黑体" w:hint="eastAsia"/>
        </w:rPr>
        <w:t xml:space="preserve">　第二十二条</w:t>
      </w:r>
      <w:r>
        <w:rPr>
          <w:rFonts w:hint="eastAsia"/>
        </w:rPr>
        <w:t xml:space="preserve">　违反本条例第十八条第一款规定的，责令其停止违法行为，限期恢复原状或者采取其他补救措施，没收违法所得，并处五十万元以上一百万元以下的罚款。</w:t>
      </w:r>
    </w:p>
    <w:p w:rsidR="009427C6" w:rsidRDefault="00511D3E">
      <w:r>
        <w:rPr>
          <w:rFonts w:hint="eastAsia"/>
        </w:rPr>
        <w:t xml:space="preserve">　</w:t>
      </w:r>
      <w:r>
        <w:rPr>
          <w:rFonts w:ascii="黑体" w:eastAsia="黑体" w:hAnsi="黑体" w:cs="黑体" w:hint="eastAsia"/>
        </w:rPr>
        <w:t xml:space="preserve">　第二十三条</w:t>
      </w:r>
      <w:r>
        <w:rPr>
          <w:rFonts w:hint="eastAsia"/>
        </w:rPr>
        <w:t xml:space="preserve">　违反本条例第十八条第二款规定的，责令其停止违法行为，限期恢复原状或者采取其他补救措施，并处三千元以上三万元以下的罚款。</w:t>
      </w:r>
    </w:p>
    <w:p w:rsidR="009427C6" w:rsidRDefault="00511D3E">
      <w:r>
        <w:rPr>
          <w:rFonts w:hint="eastAsia"/>
        </w:rPr>
        <w:t xml:space="preserve">　</w:t>
      </w:r>
      <w:r>
        <w:rPr>
          <w:rFonts w:ascii="黑体" w:eastAsia="黑体" w:hAnsi="黑体" w:cs="黑体" w:hint="eastAsia"/>
        </w:rPr>
        <w:t xml:space="preserve">　第二十四条</w:t>
      </w:r>
      <w:r>
        <w:rPr>
          <w:rFonts w:hint="eastAsia"/>
        </w:rPr>
        <w:t xml:space="preserve">　违反本条例规定的行为，其他有关法律、法规</w:t>
      </w:r>
      <w:r>
        <w:rPr>
          <w:rFonts w:hint="eastAsia"/>
        </w:rPr>
        <w:lastRenderedPageBreak/>
        <w:t>已有处罚规定的，从其规定。</w:t>
      </w:r>
    </w:p>
    <w:p w:rsidR="009427C6" w:rsidRDefault="00511D3E">
      <w:r>
        <w:rPr>
          <w:rFonts w:hint="eastAsia"/>
        </w:rPr>
        <w:t xml:space="preserve">　</w:t>
      </w:r>
      <w:r>
        <w:rPr>
          <w:rFonts w:ascii="黑体" w:eastAsia="黑体" w:hAnsi="黑体" w:cs="黑体" w:hint="eastAsia"/>
        </w:rPr>
        <w:t xml:space="preserve">　第二十五条</w:t>
      </w:r>
      <w:r>
        <w:rPr>
          <w:rFonts w:hint="eastAsia"/>
        </w:rPr>
        <w:t xml:space="preserve">　本条例实施中的具体问题由自治州人民政府负责解释。</w:t>
      </w:r>
    </w:p>
    <w:p w:rsidR="009427C6" w:rsidRDefault="00511D3E">
      <w:r>
        <w:rPr>
          <w:rFonts w:hint="eastAsia"/>
        </w:rPr>
        <w:t xml:space="preserve">　</w:t>
      </w:r>
      <w:r>
        <w:rPr>
          <w:rFonts w:ascii="黑体" w:eastAsia="黑体" w:hAnsi="黑体" w:cs="黑体" w:hint="eastAsia"/>
        </w:rPr>
        <w:t xml:space="preserve">　第二十六条　</w:t>
      </w:r>
      <w:r>
        <w:rPr>
          <w:rFonts w:hint="eastAsia"/>
        </w:rPr>
        <w:t>本条例自2013年9月1日起施行。</w:t>
      </w:r>
    </w:p>
    <w:sectPr w:rsidR="009427C6" w:rsidSect="00B24C9B">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816" w:rsidRDefault="00903816" w:rsidP="00B24C9B">
      <w:r>
        <w:separator/>
      </w:r>
    </w:p>
  </w:endnote>
  <w:endnote w:type="continuationSeparator" w:id="0">
    <w:p w:rsidR="00903816" w:rsidRDefault="00903816" w:rsidP="00B2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C9B" w:rsidRPr="00B24C9B" w:rsidRDefault="00B24C9B">
    <w:pPr>
      <w:pStyle w:val="a4"/>
      <w:rPr>
        <w:rFonts w:asciiTheme="minorEastAsia" w:eastAsiaTheme="minorEastAsia" w:hAnsiTheme="minorEastAsia"/>
        <w:sz w:val="28"/>
        <w:szCs w:val="28"/>
      </w:rPr>
    </w:pPr>
    <w:r w:rsidRPr="00B24C9B">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489289813"/>
        <w:docPartObj>
          <w:docPartGallery w:val="Page Numbers (Bottom of Page)"/>
          <w:docPartUnique/>
        </w:docPartObj>
      </w:sdtPr>
      <w:sdtEndPr/>
      <w:sdtContent>
        <w:r w:rsidRPr="00B24C9B">
          <w:rPr>
            <w:rFonts w:asciiTheme="minorEastAsia" w:eastAsiaTheme="minorEastAsia" w:hAnsiTheme="minorEastAsia"/>
            <w:sz w:val="28"/>
            <w:szCs w:val="28"/>
          </w:rPr>
          <w:fldChar w:fldCharType="begin"/>
        </w:r>
        <w:r w:rsidRPr="00B24C9B">
          <w:rPr>
            <w:rFonts w:asciiTheme="minorEastAsia" w:eastAsiaTheme="minorEastAsia" w:hAnsiTheme="minorEastAsia"/>
            <w:sz w:val="28"/>
            <w:szCs w:val="28"/>
          </w:rPr>
          <w:instrText>PAGE   \* MERGEFORMAT</w:instrText>
        </w:r>
        <w:r w:rsidRPr="00B24C9B">
          <w:rPr>
            <w:rFonts w:asciiTheme="minorEastAsia" w:eastAsiaTheme="minorEastAsia" w:hAnsiTheme="minorEastAsia"/>
            <w:sz w:val="28"/>
            <w:szCs w:val="28"/>
          </w:rPr>
          <w:fldChar w:fldCharType="separate"/>
        </w:r>
        <w:r w:rsidR="00EA699C" w:rsidRPr="00EA699C">
          <w:rPr>
            <w:rFonts w:asciiTheme="minorEastAsia" w:eastAsiaTheme="minorEastAsia" w:hAnsiTheme="minorEastAsia"/>
            <w:noProof/>
            <w:sz w:val="28"/>
            <w:szCs w:val="28"/>
            <w:lang w:val="zh-CN"/>
          </w:rPr>
          <w:t>-</w:t>
        </w:r>
        <w:r w:rsidR="00EA699C">
          <w:rPr>
            <w:rFonts w:asciiTheme="minorEastAsia" w:eastAsiaTheme="minorEastAsia" w:hAnsiTheme="minorEastAsia"/>
            <w:noProof/>
            <w:sz w:val="28"/>
            <w:szCs w:val="28"/>
          </w:rPr>
          <w:t xml:space="preserve"> 4 -</w:t>
        </w:r>
        <w:r w:rsidRPr="00B24C9B">
          <w:rPr>
            <w:rFonts w:asciiTheme="minorEastAsia" w:eastAsiaTheme="minorEastAsia" w:hAnsiTheme="minorEastAsia"/>
            <w:sz w:val="28"/>
            <w:szCs w:val="28"/>
          </w:rPr>
          <w:fldChar w:fldCharType="end"/>
        </w:r>
      </w:sdtContent>
    </w:sdt>
  </w:p>
  <w:p w:rsidR="00B24C9B" w:rsidRDefault="00B24C9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916219"/>
      <w:docPartObj>
        <w:docPartGallery w:val="Page Numbers (Bottom of Page)"/>
        <w:docPartUnique/>
      </w:docPartObj>
    </w:sdtPr>
    <w:sdtEndPr>
      <w:rPr>
        <w:rFonts w:asciiTheme="minorEastAsia" w:eastAsiaTheme="minorEastAsia" w:hAnsiTheme="minorEastAsia"/>
        <w:sz w:val="28"/>
        <w:szCs w:val="28"/>
      </w:rPr>
    </w:sdtEndPr>
    <w:sdtContent>
      <w:p w:rsidR="00B24C9B" w:rsidRPr="00B24C9B" w:rsidRDefault="00B24C9B" w:rsidP="00B24C9B">
        <w:pPr>
          <w:pStyle w:val="a4"/>
          <w:ind w:right="360"/>
          <w:jc w:val="right"/>
          <w:rPr>
            <w:rFonts w:asciiTheme="minorEastAsia" w:eastAsiaTheme="minorEastAsia" w:hAnsiTheme="minorEastAsia"/>
            <w:sz w:val="28"/>
            <w:szCs w:val="28"/>
          </w:rPr>
        </w:pPr>
        <w:r w:rsidRPr="00B24C9B">
          <w:rPr>
            <w:rFonts w:asciiTheme="minorEastAsia" w:eastAsiaTheme="minorEastAsia" w:hAnsiTheme="minorEastAsia"/>
            <w:sz w:val="28"/>
            <w:szCs w:val="28"/>
          </w:rPr>
          <w:fldChar w:fldCharType="begin"/>
        </w:r>
        <w:r w:rsidRPr="00B24C9B">
          <w:rPr>
            <w:rFonts w:asciiTheme="minorEastAsia" w:eastAsiaTheme="minorEastAsia" w:hAnsiTheme="minorEastAsia"/>
            <w:sz w:val="28"/>
            <w:szCs w:val="28"/>
          </w:rPr>
          <w:instrText>PAGE   \* MERGEFORMAT</w:instrText>
        </w:r>
        <w:r w:rsidRPr="00B24C9B">
          <w:rPr>
            <w:rFonts w:asciiTheme="minorEastAsia" w:eastAsiaTheme="minorEastAsia" w:hAnsiTheme="minorEastAsia"/>
            <w:sz w:val="28"/>
            <w:szCs w:val="28"/>
          </w:rPr>
          <w:fldChar w:fldCharType="separate"/>
        </w:r>
        <w:r w:rsidR="00EA699C" w:rsidRPr="00EA699C">
          <w:rPr>
            <w:rFonts w:asciiTheme="minorEastAsia" w:eastAsiaTheme="minorEastAsia" w:hAnsiTheme="minorEastAsia"/>
            <w:noProof/>
            <w:sz w:val="28"/>
            <w:szCs w:val="28"/>
            <w:lang w:val="zh-CN"/>
          </w:rPr>
          <w:t>-</w:t>
        </w:r>
        <w:r w:rsidR="00EA699C">
          <w:rPr>
            <w:rFonts w:asciiTheme="minorEastAsia" w:eastAsiaTheme="minorEastAsia" w:hAnsiTheme="minorEastAsia"/>
            <w:noProof/>
            <w:sz w:val="28"/>
            <w:szCs w:val="28"/>
          </w:rPr>
          <w:t xml:space="preserve"> 3 -</w:t>
        </w:r>
        <w:r w:rsidRPr="00B24C9B">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B24C9B" w:rsidRDefault="00B24C9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816" w:rsidRDefault="00903816" w:rsidP="00B24C9B">
      <w:r>
        <w:separator/>
      </w:r>
    </w:p>
  </w:footnote>
  <w:footnote w:type="continuationSeparator" w:id="0">
    <w:p w:rsidR="00903816" w:rsidRDefault="00903816" w:rsidP="00B24C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C1"/>
    <w:rsid w:val="00511D3E"/>
    <w:rsid w:val="007628C1"/>
    <w:rsid w:val="007B2E7E"/>
    <w:rsid w:val="00903816"/>
    <w:rsid w:val="009427C6"/>
    <w:rsid w:val="00B24C9B"/>
    <w:rsid w:val="00EA699C"/>
    <w:rsid w:val="12805BE2"/>
    <w:rsid w:val="727C4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7A4A8-7281-4F76-A622-1E6AFE1A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4C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4C9B"/>
    <w:rPr>
      <w:sz w:val="18"/>
      <w:szCs w:val="18"/>
    </w:rPr>
  </w:style>
  <w:style w:type="paragraph" w:styleId="a4">
    <w:name w:val="footer"/>
    <w:basedOn w:val="a"/>
    <w:link w:val="Char0"/>
    <w:uiPriority w:val="99"/>
    <w:unhideWhenUsed/>
    <w:rsid w:val="00B24C9B"/>
    <w:pPr>
      <w:tabs>
        <w:tab w:val="center" w:pos="4153"/>
        <w:tab w:val="right" w:pos="8306"/>
      </w:tabs>
      <w:snapToGrid w:val="0"/>
      <w:jc w:val="left"/>
    </w:pPr>
    <w:rPr>
      <w:sz w:val="18"/>
      <w:szCs w:val="18"/>
    </w:rPr>
  </w:style>
  <w:style w:type="character" w:customStyle="1" w:styleId="Char0">
    <w:name w:val="页脚 Char"/>
    <w:basedOn w:val="a0"/>
    <w:link w:val="a4"/>
    <w:uiPriority w:val="99"/>
    <w:rsid w:val="00B24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1827</Characters>
  <Application>Microsoft Office Word</Application>
  <DocSecurity>0</DocSecurity>
  <Lines>15</Lines>
  <Paragraphs>4</Paragraphs>
  <ScaleCrop>false</ScaleCrop>
  <Company>青海人大</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4</cp:revision>
  <dcterms:created xsi:type="dcterms:W3CDTF">2017-02-14T03:41:00Z</dcterms:created>
  <dcterms:modified xsi:type="dcterms:W3CDTF">2017-02-14T06:31:00Z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