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540" w:lineRule="exact"/>
        <w:jc w:val="center"/>
        <w:textAlignment w:val="auto"/>
        <w:rPr>
          <w:rFonts w:hint="eastAsia" w:ascii="宋体" w:hAnsi="宋体" w:eastAsia="宋体" w:cs="宋体"/>
          <w:b/>
          <w:bCs/>
          <w:color w:val="auto"/>
          <w:spacing w:val="0"/>
          <w:sz w:val="44"/>
          <w:szCs w:val="44"/>
          <w:highlight w:val="none"/>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540" w:lineRule="exact"/>
        <w:jc w:val="center"/>
        <w:textAlignment w:val="auto"/>
        <w:rPr>
          <w:rFonts w:hint="eastAsia" w:ascii="宋体" w:hAnsi="宋体" w:eastAsia="宋体" w:cs="宋体"/>
          <w:b/>
          <w:bCs/>
          <w:color w:val="auto"/>
          <w:spacing w:val="0"/>
          <w:sz w:val="44"/>
          <w:szCs w:val="44"/>
          <w:highlight w:val="none"/>
        </w:rPr>
      </w:pPr>
      <w:r>
        <w:rPr>
          <w:rFonts w:hint="eastAsia" w:ascii="宋体" w:hAnsi="宋体" w:eastAsia="宋体" w:cs="宋体"/>
          <w:b/>
          <w:bCs/>
          <w:color w:val="auto"/>
          <w:spacing w:val="0"/>
          <w:sz w:val="44"/>
          <w:szCs w:val="44"/>
          <w:highlight w:val="none"/>
          <w:lang w:val="en-US" w:eastAsia="zh-CN"/>
        </w:rPr>
        <w:t>深圳市人民代表大会常务委员会</w:t>
      </w:r>
      <w:r>
        <w:rPr>
          <w:rFonts w:hint="eastAsia" w:ascii="宋体" w:hAnsi="宋体" w:eastAsia="宋体" w:cs="宋体"/>
          <w:b/>
          <w:bCs/>
          <w:color w:val="auto"/>
          <w:spacing w:val="0"/>
          <w:sz w:val="44"/>
          <w:szCs w:val="44"/>
          <w:highlight w:val="none"/>
        </w:rPr>
        <w:t>关于暂时</w:t>
      </w:r>
    </w:p>
    <w:p>
      <w:pPr>
        <w:keepNext w:val="0"/>
        <w:keepLines w:val="0"/>
        <w:pageBreakBefore w:val="0"/>
        <w:widowControl w:val="0"/>
        <w:shd w:val="clear" w:color="auto" w:fill="auto"/>
        <w:kinsoku/>
        <w:wordWrap/>
        <w:overflowPunct/>
        <w:topLinePunct w:val="0"/>
        <w:autoSpaceDE/>
        <w:autoSpaceDN/>
        <w:bidi w:val="0"/>
        <w:adjustRightInd/>
        <w:snapToGrid/>
        <w:spacing w:line="540" w:lineRule="exact"/>
        <w:jc w:val="center"/>
        <w:textAlignment w:val="auto"/>
        <w:rPr>
          <w:rFonts w:hint="eastAsia" w:ascii="宋体" w:hAnsi="宋体" w:eastAsia="宋体" w:cs="宋体"/>
          <w:b/>
          <w:bCs/>
          <w:color w:val="auto"/>
          <w:spacing w:val="0"/>
          <w:sz w:val="44"/>
          <w:szCs w:val="44"/>
          <w:highlight w:val="none"/>
        </w:rPr>
      </w:pPr>
      <w:r>
        <w:rPr>
          <w:rFonts w:hint="eastAsia" w:ascii="宋体" w:hAnsi="宋体" w:eastAsia="宋体" w:cs="宋体"/>
          <w:b/>
          <w:bCs/>
          <w:color w:val="auto"/>
          <w:spacing w:val="0"/>
          <w:sz w:val="44"/>
          <w:szCs w:val="44"/>
          <w:highlight w:val="none"/>
        </w:rPr>
        <w:t>停止适用《深圳经济特区房地产转让条例》</w:t>
      </w:r>
    </w:p>
    <w:p>
      <w:pPr>
        <w:keepNext w:val="0"/>
        <w:keepLines w:val="0"/>
        <w:pageBreakBefore w:val="0"/>
        <w:widowControl w:val="0"/>
        <w:shd w:val="clear" w:color="auto" w:fill="auto"/>
        <w:kinsoku/>
        <w:wordWrap/>
        <w:overflowPunct/>
        <w:topLinePunct w:val="0"/>
        <w:autoSpaceDE/>
        <w:autoSpaceDN/>
        <w:bidi w:val="0"/>
        <w:adjustRightInd/>
        <w:snapToGrid/>
        <w:spacing w:line="540" w:lineRule="exact"/>
        <w:jc w:val="center"/>
        <w:textAlignment w:val="auto"/>
        <w:rPr>
          <w:rFonts w:hint="eastAsia"/>
        </w:rPr>
      </w:pPr>
      <w:r>
        <w:rPr>
          <w:rFonts w:hint="eastAsia" w:ascii="宋体" w:hAnsi="宋体" w:eastAsia="宋体" w:cs="宋体"/>
          <w:b/>
          <w:bCs/>
          <w:color w:val="auto"/>
          <w:spacing w:val="0"/>
          <w:sz w:val="44"/>
          <w:szCs w:val="44"/>
          <w:highlight w:val="none"/>
        </w:rPr>
        <w:t>有关规定的决定</w:t>
      </w:r>
    </w:p>
    <w:p>
      <w:pPr>
        <w:pStyle w:val="2"/>
        <w:keepNext w:val="0"/>
        <w:keepLines w:val="0"/>
        <w:pageBreakBefore w:val="0"/>
        <w:widowControl w:val="0"/>
        <w:shd w:val="clear" w:color="auto" w:fill="auto"/>
        <w:kinsoku/>
        <w:wordWrap/>
        <w:overflowPunct/>
        <w:topLinePunct w:val="0"/>
        <w:autoSpaceDE/>
        <w:autoSpaceDN/>
        <w:bidi w:val="0"/>
        <w:adjustRightInd/>
        <w:snapToGrid/>
        <w:spacing w:after="0" w:afterLines="0" w:line="540" w:lineRule="exact"/>
        <w:textAlignment w:val="auto"/>
        <w:rPr>
          <w:rFonts w:hint="eastAsia"/>
        </w:rPr>
      </w:pPr>
    </w:p>
    <w:p>
      <w:pPr>
        <w:keepNext w:val="0"/>
        <w:keepLines w:val="0"/>
        <w:pageBreakBefore w:val="0"/>
        <w:widowControl w:val="0"/>
        <w:shd w:val="clear" w:color="auto" w:fill="auto"/>
        <w:kinsoku/>
        <w:wordWrap/>
        <w:overflowPunct/>
        <w:topLinePunct w:val="0"/>
        <w:autoSpaceDE/>
        <w:autoSpaceDN/>
        <w:bidi w:val="0"/>
        <w:adjustRightInd/>
        <w:snapToGrid/>
        <w:spacing w:line="54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深圳市第</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届人民代表大会常务委员会第</w:t>
      </w:r>
      <w:r>
        <w:rPr>
          <w:rFonts w:hint="eastAsia" w:ascii="仿宋_GB2312" w:hAnsi="仿宋_GB2312" w:eastAsia="仿宋_GB2312" w:cs="仿宋_GB2312"/>
          <w:sz w:val="32"/>
          <w:szCs w:val="32"/>
          <w:lang w:val="en-US" w:eastAsia="zh-CN"/>
        </w:rPr>
        <w:t>十四</w:t>
      </w:r>
      <w:r>
        <w:rPr>
          <w:rFonts w:hint="eastAsia" w:ascii="仿宋_GB2312" w:hAnsi="仿宋_GB2312" w:eastAsia="仿宋_GB2312" w:cs="仿宋_GB2312"/>
          <w:sz w:val="32"/>
          <w:szCs w:val="32"/>
        </w:rPr>
        <w:t>次会议</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rPr>
        <w:t>《深圳经济特区房地产转让条例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有关规定</w:t>
      </w:r>
      <w:r>
        <w:rPr>
          <w:rFonts w:hint="eastAsia" w:ascii="仿宋_GB2312" w:hAnsi="仿宋_GB2312" w:eastAsia="仿宋_GB2312" w:cs="仿宋_GB2312"/>
          <w:sz w:val="32"/>
          <w:szCs w:val="32"/>
          <w:lang w:val="en-US" w:eastAsia="zh-CN"/>
        </w:rPr>
        <w:t>作</w:t>
      </w:r>
      <w:r>
        <w:rPr>
          <w:rFonts w:hint="eastAsia" w:ascii="仿宋_GB2312" w:hAnsi="仿宋_GB2312" w:eastAsia="仿宋_GB2312" w:cs="仿宋_GB2312"/>
          <w:sz w:val="32"/>
          <w:szCs w:val="32"/>
        </w:rPr>
        <w:t>如下决定：</w:t>
      </w:r>
    </w:p>
    <w:p>
      <w:pPr>
        <w:pStyle w:val="7"/>
        <w:keepNext w:val="0"/>
        <w:keepLines w:val="0"/>
        <w:pageBreakBefore w:val="0"/>
        <w:kinsoku/>
        <w:wordWrap/>
        <w:overflowPunct/>
        <w:topLinePunct w:val="0"/>
        <w:autoSpaceDE/>
        <w:autoSpaceDN/>
        <w:bidi w:val="0"/>
        <w:spacing w:beforeLines="0" w:afterLines="0" w:line="579" w:lineRule="exact"/>
        <w:ind w:firstLine="640" w:firstLineChars="200"/>
        <w:textAlignment w:val="auto"/>
        <w:rPr>
          <w:rStyle w:val="6"/>
          <w:rFonts w:hint="eastAsia" w:ascii="仿宋_GB2312" w:eastAsia="仿宋_GB2312"/>
          <w:sz w:val="32"/>
          <w:szCs w:val="32"/>
        </w:rPr>
      </w:pPr>
      <w:r>
        <w:rPr>
          <w:rStyle w:val="6"/>
          <w:rFonts w:hint="eastAsia" w:ascii="仿宋_GB2312" w:eastAsia="仿宋_GB2312" w:hAnsiTheme="minorHAnsi" w:cstheme="minorBidi"/>
          <w:sz w:val="32"/>
          <w:szCs w:val="32"/>
        </w:rPr>
        <w:t>暂时停止适用《深圳经济特区房地产转让条例》第三十四条第一款第四项、第三十六条、第三十七条的规定。</w:t>
      </w:r>
    </w:p>
    <w:p>
      <w:pPr>
        <w:pStyle w:val="7"/>
        <w:keepNext w:val="0"/>
        <w:keepLines w:val="0"/>
        <w:pageBreakBefore w:val="0"/>
        <w:kinsoku/>
        <w:wordWrap/>
        <w:overflowPunct/>
        <w:topLinePunct w:val="0"/>
        <w:autoSpaceDE/>
        <w:autoSpaceDN/>
        <w:bidi w:val="0"/>
        <w:spacing w:beforeLines="0" w:afterLines="0" w:line="579" w:lineRule="exact"/>
        <w:ind w:firstLine="640" w:firstLineChars="200"/>
        <w:textAlignment w:val="auto"/>
        <w:rPr>
          <w:rStyle w:val="6"/>
          <w:rFonts w:hint="eastAsia" w:ascii="仿宋_GB2312" w:eastAsia="仿宋_GB2312"/>
          <w:sz w:val="32"/>
          <w:szCs w:val="32"/>
        </w:rPr>
      </w:pPr>
      <w:r>
        <w:rPr>
          <w:rFonts w:hint="eastAsia" w:ascii="仿宋_GB2312" w:hAnsi="仿宋_GB2312" w:eastAsia="仿宋_GB2312" w:cs="仿宋_GB2312"/>
          <w:sz w:val="32"/>
          <w:szCs w:val="32"/>
          <w:lang w:val="en-US" w:eastAsia="zh-CN"/>
        </w:rPr>
        <w:t>暂时停止适用上述有关规定的期限为三年。</w:t>
      </w:r>
      <w:r>
        <w:rPr>
          <w:rFonts w:hint="eastAsia" w:ascii="仿宋_GB2312" w:hAnsi="仿宋_GB2312" w:eastAsia="仿宋_GB2312" w:cs="仿宋_GB2312"/>
          <w:sz w:val="32"/>
          <w:szCs w:val="32"/>
        </w:rPr>
        <w:t>暂时停止适用期间，</w:t>
      </w:r>
      <w:r>
        <w:rPr>
          <w:rStyle w:val="6"/>
          <w:rFonts w:hint="eastAsia" w:ascii="仿宋_GB2312" w:eastAsia="仿宋_GB2312" w:hAnsiTheme="minorHAnsi" w:cstheme="minorBidi"/>
          <w:sz w:val="32"/>
          <w:szCs w:val="32"/>
        </w:rPr>
        <w:t>商品房预售</w:t>
      </w:r>
      <w:r>
        <w:rPr>
          <w:rStyle w:val="6"/>
          <w:rFonts w:hint="eastAsia" w:ascii="仿宋_GB2312" w:eastAsia="仿宋_GB2312" w:hAnsiTheme="minorHAnsi" w:cstheme="minorBidi"/>
          <w:sz w:val="32"/>
          <w:szCs w:val="32"/>
          <w:lang w:eastAsia="zh-CN"/>
        </w:rPr>
        <w:t>资金</w:t>
      </w:r>
      <w:r>
        <w:rPr>
          <w:rStyle w:val="6"/>
          <w:rFonts w:hint="eastAsia" w:ascii="仿宋_GB2312" w:eastAsia="仿宋_GB2312" w:hAnsiTheme="minorHAnsi" w:cstheme="minorBidi"/>
          <w:sz w:val="32"/>
          <w:szCs w:val="32"/>
        </w:rPr>
        <w:t>监管按照市人民政府有关规定执行。实践证明可行的，应当修改完善法规有关规定；实践证明不宜停止的，恢复施行法规有关规定。</w:t>
      </w:r>
    </w:p>
    <w:p>
      <w:pPr>
        <w:keepNext w:val="0"/>
        <w:keepLines w:val="0"/>
        <w:pageBreakBefore w:val="0"/>
        <w:widowControl w:val="0"/>
        <w:shd w:val="clear" w:color="auto" w:fill="auto"/>
        <w:kinsoku/>
        <w:wordWrap/>
        <w:overflowPunct/>
        <w:topLinePunct w:val="0"/>
        <w:autoSpaceDE/>
        <w:autoSpaceDN/>
        <w:bidi w:val="0"/>
        <w:adjustRightInd/>
        <w:snapToGrid/>
        <w:spacing w:line="54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w:t>
      </w:r>
      <w:r>
        <w:rPr>
          <w:rFonts w:hint="eastAsia" w:ascii="仿宋_GB2312" w:hAnsi="仿宋_GB2312" w:eastAsia="仿宋_GB2312" w:cs="仿宋_GB2312"/>
          <w:sz w:val="32"/>
          <w:szCs w:val="32"/>
          <w:lang w:eastAsia="zh-CN"/>
        </w:rPr>
        <w:t>公布之日</w:t>
      </w:r>
      <w:r>
        <w:rPr>
          <w:rFonts w:hint="eastAsia" w:ascii="仿宋_GB2312" w:hAnsi="仿宋_GB2312" w:eastAsia="仿宋_GB2312" w:cs="仿宋_GB2312"/>
          <w:sz w:val="32"/>
          <w:szCs w:val="32"/>
        </w:rPr>
        <w:t>起施行。</w:t>
      </w:r>
    </w:p>
    <w:p>
      <w:pPr>
        <w:keepNext w:val="0"/>
        <w:keepLines w:val="0"/>
        <w:pageBreakBefore w:val="0"/>
        <w:widowControl w:val="0"/>
        <w:shd w:val="clear" w:color="auto" w:fill="auto"/>
        <w:kinsoku/>
        <w:wordWrap/>
        <w:overflowPunct/>
        <w:topLinePunct w:val="0"/>
        <w:autoSpaceDE/>
        <w:autoSpaceDN/>
        <w:bidi w:val="0"/>
        <w:adjustRightInd/>
        <w:snapToGrid/>
        <w:spacing w:line="54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540" w:lineRule="exact"/>
        <w:ind w:left="1598" w:leftChars="304" w:hanging="960" w:hangingChars="3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附件：暂时停止适用</w:t>
      </w:r>
      <w:r>
        <w:rPr>
          <w:rStyle w:val="6"/>
          <w:rFonts w:hint="eastAsia" w:ascii="仿宋_GB2312" w:eastAsia="仿宋_GB2312"/>
          <w:sz w:val="32"/>
          <w:szCs w:val="32"/>
        </w:rPr>
        <w:t>《深圳经济特区房地产转让条例》</w:t>
      </w:r>
      <w:r>
        <w:rPr>
          <w:rFonts w:hint="eastAsia" w:ascii="仿宋_GB2312" w:hAnsi="仿宋_GB2312" w:eastAsia="仿宋_GB2312" w:cs="仿宋_GB2312"/>
          <w:sz w:val="32"/>
          <w:szCs w:val="32"/>
          <w:lang w:val="en-US" w:eastAsia="zh-CN"/>
        </w:rPr>
        <w:t>的相关规定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page"/>
      </w:r>
    </w:p>
    <w:p>
      <w:pPr>
        <w:keepNext w:val="0"/>
        <w:keepLines w:val="0"/>
        <w:pageBreakBefore w:val="0"/>
        <w:widowControl w:val="0"/>
        <w:shd w:val="clear" w:color="auto" w:fill="auto"/>
        <w:kinsoku/>
        <w:wordWrap/>
        <w:overflowPunct/>
        <w:topLinePunct w:val="0"/>
        <w:autoSpaceDE/>
        <w:autoSpaceDN/>
        <w:bidi w:val="0"/>
        <w:adjustRightInd/>
        <w:snapToGrid/>
        <w:spacing w:line="56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rPr>
        <w:t>附</w:t>
      </w:r>
      <w:r>
        <w:rPr>
          <w:rFonts w:hint="eastAsia" w:ascii="黑体" w:hAnsi="黑体" w:eastAsia="黑体" w:cs="黑体"/>
          <w:sz w:val="32"/>
          <w:szCs w:val="32"/>
          <w:lang w:val="en-US" w:eastAsia="zh-CN"/>
        </w:rPr>
        <w:t>件</w:t>
      </w:r>
    </w:p>
    <w:p>
      <w:pPr>
        <w:pStyle w:val="2"/>
        <w:keepLines w:val="0"/>
        <w:pageBreakBefore w:val="0"/>
        <w:shd w:val="clear" w:color="auto" w:fill="auto"/>
        <w:kinsoku/>
        <w:topLinePunct w:val="0"/>
        <w:bidi w:val="0"/>
        <w:spacing w:after="0" w:afterLines="0" w:line="560" w:lineRule="exact"/>
        <w:textAlignment w:val="auto"/>
        <w:rPr>
          <w:rFonts w:hint="eastAsia"/>
          <w:lang w:eastAsia="zh-CN"/>
        </w:rPr>
      </w:pPr>
    </w:p>
    <w:p>
      <w:pPr>
        <w:pStyle w:val="2"/>
        <w:keepNext w:val="0"/>
        <w:keepLines w:val="0"/>
        <w:pageBreakBefore w:val="0"/>
        <w:widowControl w:val="0"/>
        <w:shd w:val="clear" w:color="auto" w:fill="auto"/>
        <w:kinsoku/>
        <w:wordWrap/>
        <w:overflowPunct/>
        <w:topLinePunct w:val="0"/>
        <w:autoSpaceDE/>
        <w:autoSpaceDN/>
        <w:bidi w:val="0"/>
        <w:adjustRightInd/>
        <w:snapToGrid/>
        <w:spacing w:after="0" w:afterLines="0" w:line="560" w:lineRule="exact"/>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暂时停止适用《深圳经济特区房地产</w:t>
      </w:r>
    </w:p>
    <w:p>
      <w:pPr>
        <w:pStyle w:val="2"/>
        <w:keepNext w:val="0"/>
        <w:keepLines w:val="0"/>
        <w:pageBreakBefore w:val="0"/>
        <w:widowControl w:val="0"/>
        <w:shd w:val="clear" w:color="auto" w:fill="auto"/>
        <w:kinsoku/>
        <w:wordWrap/>
        <w:overflowPunct/>
        <w:topLinePunct w:val="0"/>
        <w:autoSpaceDE/>
        <w:autoSpaceDN/>
        <w:bidi w:val="0"/>
        <w:adjustRightInd/>
        <w:snapToGrid/>
        <w:spacing w:after="0" w:afterLines="0" w:line="560" w:lineRule="exact"/>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rPr>
        <w:t>转让条例》</w:t>
      </w:r>
      <w:r>
        <w:rPr>
          <w:rFonts w:hint="eastAsia" w:ascii="宋体" w:hAnsi="宋体" w:eastAsia="宋体" w:cs="宋体"/>
          <w:b/>
          <w:bCs/>
          <w:sz w:val="44"/>
          <w:szCs w:val="44"/>
          <w:lang w:val="en-US" w:eastAsia="zh-CN"/>
        </w:rPr>
        <w:t>的相关规定</w:t>
      </w:r>
    </w:p>
    <w:p>
      <w:pPr>
        <w:pStyle w:val="3"/>
        <w:rPr>
          <w:rFonts w:hint="eastAsia"/>
        </w:rPr>
      </w:pPr>
    </w:p>
    <w:p>
      <w:pPr>
        <w:pStyle w:val="2"/>
        <w:keepNext w:val="0"/>
        <w:keepLines w:val="0"/>
        <w:pageBreakBefore w:val="0"/>
        <w:widowControl w:val="0"/>
        <w:shd w:val="clear" w:color="auto" w:fill="auto"/>
        <w:kinsoku/>
        <w:wordWrap/>
        <w:overflowPunct/>
        <w:topLinePunct w:val="0"/>
        <w:autoSpaceDE/>
        <w:autoSpaceDN/>
        <w:bidi w:val="0"/>
        <w:adjustRightInd/>
        <w:snapToGrid/>
        <w:spacing w:after="0" w:afterLines="0" w:line="560" w:lineRule="exact"/>
        <w:ind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第三十四条第一款第四项</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房地产开发商预售房地产应当符合下列条件：……</w:t>
      </w:r>
      <w:r>
        <w:rPr>
          <w:rFonts w:hint="eastAsia" w:ascii="仿宋_GB2312" w:hAnsi="仿宋_GB2312" w:eastAsia="仿宋_GB2312" w:cs="仿宋_GB2312"/>
          <w:b w:val="0"/>
          <w:bCs w:val="0"/>
          <w:sz w:val="32"/>
          <w:szCs w:val="32"/>
        </w:rPr>
        <w:t>（四）房地产开发商和金融机构已签订预售款监管协议</w:t>
      </w:r>
      <w:r>
        <w:rPr>
          <w:rFonts w:hint="eastAsia" w:ascii="仿宋_GB2312" w:hAnsi="仿宋_GB2312" w:eastAsia="仿宋_GB2312" w:cs="仿宋_GB2312"/>
          <w:b w:val="0"/>
          <w:bCs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第三十六条</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kern w:val="2"/>
          <w:sz w:val="32"/>
          <w:szCs w:val="32"/>
          <w:lang w:val="en-US" w:eastAsia="zh-CN" w:bidi="ar-SA"/>
        </w:rPr>
        <w:t>预售款应当由房地产开发商委托金融机构代收。</w:t>
      </w:r>
      <w:bookmarkStart w:id="2" w:name="_GoBack"/>
      <w:bookmarkEnd w:id="2"/>
      <w:r>
        <w:rPr>
          <w:rFonts w:hint="eastAsia" w:ascii="仿宋_GB2312" w:hAnsi="仿宋_GB2312" w:eastAsia="仿宋_GB2312" w:cs="仿宋_GB2312"/>
          <w:b w:val="0"/>
          <w:bCs w:val="0"/>
          <w:kern w:val="2"/>
          <w:sz w:val="32"/>
          <w:szCs w:val="32"/>
          <w:lang w:val="en-US" w:eastAsia="zh-CN" w:bidi="ar-SA"/>
        </w:rPr>
        <w:fldChar w:fldCharType="begin"/>
      </w:r>
      <w:r>
        <w:rPr>
          <w:rFonts w:hint="eastAsia" w:ascii="仿宋_GB2312" w:hAnsi="仿宋_GB2312" w:eastAsia="仿宋_GB2312" w:cs="仿宋_GB2312"/>
          <w:b w:val="0"/>
          <w:bCs w:val="0"/>
          <w:kern w:val="2"/>
          <w:sz w:val="32"/>
          <w:szCs w:val="32"/>
          <w:lang w:val="en-US" w:eastAsia="zh-CN" w:bidi="ar-SA"/>
        </w:rPr>
        <w:instrText xml:space="preserve"> HYPERLINK "javascript:void(0);" </w:instrText>
      </w:r>
      <w:r>
        <w:rPr>
          <w:rFonts w:hint="eastAsia" w:ascii="仿宋_GB2312" w:hAnsi="仿宋_GB2312" w:eastAsia="仿宋_GB2312" w:cs="仿宋_GB2312"/>
          <w:b w:val="0"/>
          <w:bCs w:val="0"/>
          <w:kern w:val="2"/>
          <w:sz w:val="32"/>
          <w:szCs w:val="32"/>
          <w:lang w:val="en-US" w:eastAsia="zh-CN" w:bidi="ar-SA"/>
        </w:rPr>
        <w:fldChar w:fldCharType="separate"/>
      </w:r>
      <w:r>
        <w:rPr>
          <w:rFonts w:hint="eastAsia" w:ascii="仿宋_GB2312" w:hAnsi="仿宋_GB2312" w:eastAsia="仿宋_GB2312" w:cs="仿宋_GB2312"/>
          <w:b w:val="0"/>
          <w:bCs w:val="0"/>
          <w:kern w:val="2"/>
          <w:sz w:val="32"/>
          <w:szCs w:val="32"/>
          <w:lang w:val="en-US" w:eastAsia="zh-CN" w:bidi="ar-SA"/>
        </w:rPr>
        <w:fldChar w:fldCharType="end"/>
      </w:r>
    </w:p>
    <w:p>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kern w:val="2"/>
          <w:sz w:val="32"/>
          <w:szCs w:val="32"/>
          <w:lang w:val="en-US" w:eastAsia="zh-CN" w:bidi="ar-SA"/>
        </w:rPr>
      </w:pPr>
      <w:bookmarkStart w:id="0" w:name="tiao_36_kuan_2"/>
      <w:bookmarkEnd w:id="0"/>
      <w:r>
        <w:rPr>
          <w:rFonts w:hint="eastAsia" w:ascii="仿宋_GB2312" w:hAnsi="仿宋_GB2312" w:eastAsia="仿宋_GB2312" w:cs="仿宋_GB2312"/>
          <w:b w:val="0"/>
          <w:bCs w:val="0"/>
          <w:kern w:val="2"/>
          <w:sz w:val="32"/>
          <w:szCs w:val="32"/>
          <w:lang w:val="en-US" w:eastAsia="zh-CN" w:bidi="ar-SA"/>
        </w:rPr>
        <w:t>代收预售款的金融机构应当为预售款的监管机构。</w:t>
      </w:r>
    </w:p>
    <w:p>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kern w:val="2"/>
          <w:sz w:val="32"/>
          <w:szCs w:val="32"/>
          <w:vertAlign w:val="baseline"/>
          <w:lang w:val="en-US" w:eastAsia="zh-CN" w:bidi="ar-SA"/>
        </w:rPr>
      </w:pPr>
      <w:r>
        <w:rPr>
          <w:rFonts w:hint="eastAsia" w:ascii="黑体" w:hAnsi="黑体" w:eastAsia="黑体" w:cs="黑体"/>
          <w:b w:val="0"/>
          <w:bCs w:val="0"/>
          <w:kern w:val="2"/>
          <w:sz w:val="32"/>
          <w:szCs w:val="32"/>
          <w:lang w:val="en-US" w:eastAsia="zh-CN" w:bidi="ar-SA"/>
        </w:rPr>
        <w:t>第三十七条</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kern w:val="2"/>
          <w:sz w:val="32"/>
          <w:szCs w:val="32"/>
          <w:vertAlign w:val="baseline"/>
          <w:lang w:val="en-US" w:eastAsia="zh-CN" w:bidi="ar-SA"/>
        </w:rPr>
        <w:t>预售款应当专款专用，由工程监理机构根据建筑工程承包合同规定的进度计划和工程实际进度，书面通知预售款监管机构向转让人划款。非经工程监理机构书面通知，预售款监管机构不得直接向转让人划款。</w:t>
      </w:r>
      <w:r>
        <w:rPr>
          <w:rFonts w:hint="eastAsia" w:ascii="仿宋_GB2312" w:hAnsi="仿宋_GB2312" w:eastAsia="仿宋_GB2312" w:cs="仿宋_GB2312"/>
          <w:b w:val="0"/>
          <w:bCs w:val="0"/>
          <w:kern w:val="2"/>
          <w:sz w:val="32"/>
          <w:szCs w:val="32"/>
          <w:vertAlign w:val="baseline"/>
          <w:lang w:val="en-US" w:eastAsia="zh-CN" w:bidi="ar-SA"/>
        </w:rPr>
        <w:fldChar w:fldCharType="begin"/>
      </w:r>
      <w:r>
        <w:rPr>
          <w:rFonts w:hint="eastAsia" w:ascii="仿宋_GB2312" w:hAnsi="仿宋_GB2312" w:eastAsia="仿宋_GB2312" w:cs="仿宋_GB2312"/>
          <w:b w:val="0"/>
          <w:bCs w:val="0"/>
          <w:kern w:val="2"/>
          <w:sz w:val="32"/>
          <w:szCs w:val="32"/>
          <w:vertAlign w:val="baseline"/>
          <w:lang w:val="en-US" w:eastAsia="zh-CN" w:bidi="ar-SA"/>
        </w:rPr>
        <w:instrText xml:space="preserve"> HYPERLINK "javascript:void(0);" </w:instrText>
      </w:r>
      <w:r>
        <w:rPr>
          <w:rFonts w:hint="eastAsia" w:ascii="仿宋_GB2312" w:hAnsi="仿宋_GB2312" w:eastAsia="仿宋_GB2312" w:cs="仿宋_GB2312"/>
          <w:b w:val="0"/>
          <w:bCs w:val="0"/>
          <w:kern w:val="2"/>
          <w:sz w:val="32"/>
          <w:szCs w:val="32"/>
          <w:vertAlign w:val="baseline"/>
          <w:lang w:val="en-US" w:eastAsia="zh-CN" w:bidi="ar-SA"/>
        </w:rPr>
        <w:fldChar w:fldCharType="separate"/>
      </w:r>
      <w:r>
        <w:rPr>
          <w:rFonts w:hint="eastAsia" w:ascii="仿宋_GB2312" w:hAnsi="仿宋_GB2312" w:eastAsia="仿宋_GB2312" w:cs="仿宋_GB2312"/>
          <w:b w:val="0"/>
          <w:bCs w:val="0"/>
          <w:kern w:val="2"/>
          <w:sz w:val="32"/>
          <w:szCs w:val="32"/>
          <w:vertAlign w:val="baseline"/>
          <w:lang w:val="en-US" w:eastAsia="zh-CN" w:bidi="ar-SA"/>
        </w:rPr>
        <w:fldChar w:fldCharType="end"/>
      </w:r>
    </w:p>
    <w:p>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kern w:val="2"/>
          <w:sz w:val="32"/>
          <w:szCs w:val="32"/>
          <w:vertAlign w:val="baseline"/>
          <w:lang w:val="en-US" w:eastAsia="zh-CN" w:bidi="ar-SA"/>
        </w:rPr>
      </w:pPr>
      <w:bookmarkStart w:id="1" w:name="tiao_37_kuan_2"/>
      <w:bookmarkEnd w:id="1"/>
      <w:r>
        <w:rPr>
          <w:rFonts w:hint="eastAsia" w:ascii="仿宋_GB2312" w:hAnsi="仿宋_GB2312" w:eastAsia="仿宋_GB2312" w:cs="仿宋_GB2312"/>
          <w:b w:val="0"/>
          <w:bCs w:val="0"/>
          <w:kern w:val="2"/>
          <w:sz w:val="32"/>
          <w:szCs w:val="32"/>
          <w:vertAlign w:val="baseline"/>
          <w:lang w:val="en-US" w:eastAsia="zh-CN" w:bidi="ar-SA"/>
        </w:rPr>
        <w:t>工程监理机构和预售款监管机构监管不当，造成受让人损失的，应当与房地产开发商承担连带赔偿责任。</w:t>
      </w:r>
    </w:p>
    <w:p>
      <w:pPr>
        <w:rPr>
          <w:rFonts w:hint="default" w:ascii="仿宋_GB2312" w:hAnsi="仿宋_GB2312" w:eastAsia="仿宋_GB2312" w:cs="仿宋_GB2312"/>
          <w:b w:val="0"/>
          <w:bCs w:val="0"/>
          <w:kern w:val="2"/>
          <w:sz w:val="32"/>
          <w:szCs w:val="32"/>
          <w:lang w:val="en-US" w:eastAsia="zh-CN" w:bidi="ar-SA"/>
        </w:rPr>
      </w:pPr>
    </w:p>
    <w:p/>
    <w:sectPr>
      <w:footerReference r:id="rId3" w:type="default"/>
      <w:pgSz w:w="11906" w:h="16838"/>
      <w:pgMar w:top="2098" w:right="1587" w:bottom="1814" w:left="158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835CC"/>
    <w:rsid w:val="6AD8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next w:val="3"/>
    <w:qFormat/>
    <w:uiPriority w:val="99"/>
    <w:pPr>
      <w:spacing w:line="540" w:lineRule="exact"/>
      <w:jc w:val="center"/>
    </w:pPr>
    <w:rPr>
      <w:rFonts w:ascii="宋体" w:hAnsi="Times New Roman" w:cs="宋体"/>
      <w:b/>
      <w:bCs/>
      <w:sz w:val="44"/>
      <w:szCs w:val="44"/>
    </w:rPr>
  </w:style>
  <w:style w:type="paragraph" w:styleId="3">
    <w:name w:val="Title"/>
    <w:basedOn w:val="1"/>
    <w:next w:val="1"/>
    <w:qFormat/>
    <w:uiPriority w:val="0"/>
    <w:pPr>
      <w:spacing w:before="240" w:after="60"/>
      <w:jc w:val="center"/>
      <w:textAlignment w:val="baseline"/>
    </w:pPr>
    <w:rPr>
      <w:rFonts w:ascii="Cambria" w:hAnsi="Cambria"/>
      <w:b/>
      <w:bCs/>
      <w:sz w:val="32"/>
      <w:szCs w:val="32"/>
    </w:rPr>
  </w:style>
  <w:style w:type="paragraph" w:styleId="4">
    <w:name w:val="footer"/>
    <w:basedOn w:val="1"/>
    <w:qFormat/>
    <w:uiPriority w:val="0"/>
    <w:pPr>
      <w:tabs>
        <w:tab w:val="center" w:pos="4153"/>
        <w:tab w:val="right" w:pos="8306"/>
      </w:tabs>
      <w:snapToGrid w:val="0"/>
      <w:jc w:val="left"/>
    </w:pPr>
    <w:rPr>
      <w:sz w:val="18"/>
      <w:szCs w:val="18"/>
    </w:rPr>
  </w:style>
  <w:style w:type="paragraph" w:customStyle="1" w:styleId="7">
    <w:name w:val="正文_0"/>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2023-01-09T08:13:00Z</dcterms:created>
  <dc:creator>卢倚玲</dc:creator>
  <cp:lastModifiedBy>卢倚玲</cp:lastModifiedBy>
  <dcterms:modified xsi:type="dcterms:W3CDTF">2023-01-09T08:14:25Z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56EBE6A7E9344C8C9DFCB2EEFBD8B74A</vt:lpwstr>
  </property>
</Properties>
</file>