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b/>
          <w:bCs/>
          <w:sz w:val="44"/>
          <w:szCs w:val="44"/>
        </w:rPr>
      </w:pPr>
    </w:p>
    <w:p>
      <w:pPr>
        <w:spacing w:line="560" w:lineRule="exact"/>
        <w:jc w:val="center"/>
        <w:rPr>
          <w:rFonts w:hint="eastAsia" w:ascii="宋体" w:hAnsi="宋体" w:eastAsia="宋体" w:cs="宋体"/>
          <w:b/>
          <w:bCs/>
          <w:sz w:val="44"/>
          <w:szCs w:val="44"/>
        </w:rPr>
      </w:pPr>
    </w:p>
    <w:p>
      <w:pPr>
        <w:spacing w:line="560" w:lineRule="exact"/>
        <w:jc w:val="center"/>
        <w:rPr>
          <w:rFonts w:ascii="宋体" w:hAnsi="宋体" w:eastAsia="宋体" w:cs="宋体"/>
          <w:b w:val="0"/>
          <w:bCs w:val="0"/>
          <w:sz w:val="44"/>
          <w:szCs w:val="44"/>
        </w:rPr>
      </w:pPr>
      <w:r>
        <w:rPr>
          <w:rFonts w:hint="eastAsia" w:ascii="宋体" w:hAnsi="宋体" w:eastAsia="宋体" w:cs="宋体"/>
          <w:b w:val="0"/>
          <w:bCs w:val="0"/>
          <w:sz w:val="44"/>
          <w:szCs w:val="44"/>
        </w:rPr>
        <w:t>深圳经济特区处理历史遗留生产经营性</w:t>
      </w:r>
    </w:p>
    <w:p>
      <w:pPr>
        <w:spacing w:line="560" w:lineRule="exact"/>
        <w:jc w:val="center"/>
        <w:rPr>
          <w:rFonts w:ascii="宋体" w:hAnsi="宋体" w:eastAsia="宋体" w:cs="宋体"/>
          <w:b w:val="0"/>
          <w:bCs w:val="0"/>
          <w:sz w:val="44"/>
          <w:szCs w:val="44"/>
        </w:rPr>
      </w:pPr>
      <w:r>
        <w:rPr>
          <w:rFonts w:hint="eastAsia" w:ascii="宋体" w:hAnsi="宋体" w:eastAsia="宋体" w:cs="宋体"/>
          <w:b w:val="0"/>
          <w:bCs w:val="0"/>
          <w:sz w:val="44"/>
          <w:szCs w:val="44"/>
        </w:rPr>
        <w:t>违法建筑若干规定</w:t>
      </w:r>
    </w:p>
    <w:p>
      <w:pPr>
        <w:spacing w:line="560" w:lineRule="exact"/>
        <w:jc w:val="center"/>
        <w:rPr>
          <w:rFonts w:eastAsia="黑体"/>
        </w:rPr>
      </w:pPr>
    </w:p>
    <w:p>
      <w:pPr>
        <w:spacing w:line="560" w:lineRule="exact"/>
        <w:ind w:left="640" w:leftChars="200" w:right="730" w:rightChars="228" w:firstLine="0" w:firstLineChars="0"/>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2001年10月17日深圳市第三届人民代表大会</w:t>
      </w:r>
      <w:r>
        <w:rPr>
          <w:rFonts w:hint="eastAsia" w:ascii="楷体_GB2312" w:hAnsi="楷体_GB2312" w:eastAsia="楷体_GB2312" w:cs="楷体_GB2312"/>
          <w:sz w:val="32"/>
          <w:szCs w:val="32"/>
        </w:rPr>
        <w:t>常务委员会第十一次会议通过</w:t>
      </w:r>
      <w:r>
        <w:rPr>
          <w:rFonts w:ascii="楷体_GB2312" w:hAnsi="楷体_GB2312" w:eastAsia="楷体_GB2312" w:cs="楷体_GB2312"/>
          <w:sz w:val="32"/>
          <w:szCs w:val="32"/>
        </w:rPr>
        <w:t xml:space="preserve">  </w:t>
      </w:r>
      <w:r>
        <w:rPr>
          <w:rFonts w:hint="eastAsia" w:ascii="楷体_GB2312" w:eastAsia="楷体_GB2312"/>
          <w:color w:val="000000"/>
          <w:sz w:val="32"/>
          <w:szCs w:val="32"/>
        </w:rPr>
        <w:t>根据2019年10月31日深圳市第六届人民代表大会常务委员会第三十六次会议《关于修改〈深圳经济特区人体器官捐献移植条例〉等四十五项法规的决定》修正</w:t>
      </w:r>
      <w:r>
        <w:rPr>
          <w:rFonts w:hint="eastAsia" w:ascii="楷体_GB2312" w:hAnsi="楷体_GB2312" w:eastAsia="楷体_GB2312" w:cs="楷体_GB2312"/>
          <w:sz w:val="32"/>
          <w:szCs w:val="32"/>
        </w:rPr>
        <w:t>）</w:t>
      </w:r>
    </w:p>
    <w:p>
      <w:pPr>
        <w:spacing w:line="560" w:lineRule="exact"/>
        <w:jc w:val="center"/>
      </w:pPr>
    </w:p>
    <w:p>
      <w:pPr>
        <w:spacing w:line="560" w:lineRule="exact"/>
      </w:pPr>
      <w:r>
        <w:rPr>
          <w:rFonts w:hint="eastAsia"/>
        </w:rPr>
        <w:t xml:space="preserve"> </w:t>
      </w:r>
      <w:r>
        <w:rPr>
          <w:rFonts w:hint="eastAsia" w:eastAsia="黑体"/>
        </w:rPr>
        <w:t xml:space="preserve">   </w:t>
      </w:r>
      <w:r>
        <w:rPr>
          <w:rFonts w:hint="eastAsia" w:ascii="黑体" w:eastAsia="黑体"/>
        </w:rPr>
        <w:t>第一条</w:t>
      </w:r>
      <w:r>
        <w:rPr>
          <w:rFonts w:hint="eastAsia" w:eastAsia="黑体"/>
        </w:rPr>
        <w:t xml:space="preserve"> </w:t>
      </w:r>
      <w:r>
        <w:rPr>
          <w:rFonts w:hint="eastAsia"/>
        </w:rPr>
        <w:t xml:space="preserve"> 为</w:t>
      </w:r>
      <w:r>
        <w:t>了</w:t>
      </w:r>
      <w:r>
        <w:rPr>
          <w:rFonts w:hint="eastAsia"/>
        </w:rPr>
        <w:t>处理历史遗留生产经营性违法建筑问题，制止违法建筑行为，保障城市规划的实施，根据有关法律、行政法规的基本原则</w:t>
      </w:r>
      <w:r>
        <w:rPr>
          <w:rFonts w:hint="eastAsia" w:ascii="仿宋_GB2312" w:eastAsia="仿宋_GB2312"/>
          <w:i w:val="0"/>
          <w:iCs/>
          <w:sz w:val="32"/>
          <w:u w:val="none"/>
        </w:rPr>
        <w:t>和政策规定</w:t>
      </w:r>
      <w:r>
        <w:rPr>
          <w:rFonts w:hint="eastAsia"/>
        </w:rPr>
        <w:t>，结合深圳经济特区实际，制定本规定。</w:t>
      </w:r>
    </w:p>
    <w:p>
      <w:pPr>
        <w:spacing w:line="560" w:lineRule="exact"/>
        <w:ind w:firstLine="645"/>
      </w:pPr>
      <w:r>
        <w:rPr>
          <w:rFonts w:hint="eastAsia" w:ascii="黑体" w:eastAsia="黑体"/>
        </w:rPr>
        <w:t>第二条</w:t>
      </w:r>
      <w:r>
        <w:rPr>
          <w:rFonts w:hint="eastAsia" w:eastAsia="黑体"/>
        </w:rPr>
        <w:t xml:space="preserve"> </w:t>
      </w:r>
      <w:r>
        <w:rPr>
          <w:rFonts w:hint="eastAsia"/>
        </w:rPr>
        <w:t xml:space="preserve"> 本规定所称历史遗留生产经营性违法建筑（以下简称违法建筑），是指</w:t>
      </w:r>
      <w:r>
        <w:rPr>
          <w:rFonts w:hint="eastAsia" w:ascii="黑体"/>
        </w:rPr>
        <w:t>《深圳市人民代表大会常务委员会关于坚决查处违法建筑的决定》公布实施以前，即</w:t>
      </w:r>
      <w:r>
        <w:t>1999</w:t>
      </w:r>
      <w:r>
        <w:rPr>
          <w:rFonts w:hint="eastAsia"/>
        </w:rPr>
        <w:t>年3月</w:t>
      </w:r>
      <w:r>
        <w:t>5</w:t>
      </w:r>
      <w:r>
        <w:rPr>
          <w:rFonts w:hint="eastAsia"/>
        </w:rPr>
        <w:t>日以前</w:t>
      </w:r>
      <w:r>
        <w:rPr>
          <w:rFonts w:hint="eastAsia" w:ascii="黑体"/>
        </w:rPr>
        <w:t>违反规划、土地等有关法律、法规的规定，</w:t>
      </w:r>
      <w:r>
        <w:rPr>
          <w:rFonts w:hint="eastAsia"/>
        </w:rPr>
        <w:t>未经规划国土资源部门批准，未领取</w:t>
      </w:r>
      <w:r>
        <w:rPr>
          <w:rFonts w:hint="eastAsia" w:ascii="黑体"/>
        </w:rPr>
        <w:t>建设工程规划许可证</w:t>
      </w:r>
      <w:r>
        <w:rPr>
          <w:rFonts w:hint="eastAsia"/>
        </w:rPr>
        <w:t>，</w:t>
      </w:r>
      <w:r>
        <w:rPr>
          <w:rFonts w:hint="eastAsia" w:ascii="黑体"/>
        </w:rPr>
        <w:t>非法</w:t>
      </w:r>
      <w:r>
        <w:rPr>
          <w:rFonts w:hint="eastAsia"/>
        </w:rPr>
        <w:t>占用土地兴建的工业、交通、能源等项目的建筑物及生活配套设施。</w:t>
      </w:r>
      <w:bookmarkStart w:id="0" w:name="_GoBack"/>
      <w:bookmarkEnd w:id="0"/>
    </w:p>
    <w:p>
      <w:pPr>
        <w:spacing w:line="560" w:lineRule="exact"/>
      </w:pPr>
      <w:r>
        <w:rPr>
          <w:rFonts w:hint="eastAsia"/>
        </w:rPr>
        <w:t xml:space="preserve">   </w:t>
      </w:r>
      <w:r>
        <w:rPr>
          <w:rFonts w:hint="eastAsia" w:eastAsia="黑体"/>
        </w:rPr>
        <w:t xml:space="preserve"> </w:t>
      </w:r>
      <w:r>
        <w:rPr>
          <w:rFonts w:hint="eastAsia" w:ascii="黑体" w:eastAsia="黑体"/>
        </w:rPr>
        <w:t>第三条</w:t>
      </w:r>
      <w:r>
        <w:rPr>
          <w:rFonts w:hint="eastAsia"/>
        </w:rPr>
        <w:t xml:space="preserve">  区人民政府负责辖区内违法建筑清查、处理的统一组织和协调工作。</w:t>
      </w:r>
    </w:p>
    <w:p>
      <w:pPr>
        <w:pStyle w:val="3"/>
      </w:pPr>
      <w:r>
        <w:t>规划和自然资源</w:t>
      </w:r>
      <w:r>
        <w:rPr>
          <w:rFonts w:hint="eastAsia"/>
        </w:rPr>
        <w:t>部门主管违法建筑问题的处理工作；住房建设</w:t>
      </w:r>
      <w:r>
        <w:rPr>
          <w:rFonts w:hint="eastAsia"/>
          <w:lang w:eastAsia="zh-CN"/>
        </w:rPr>
        <w:t>部门</w:t>
      </w:r>
      <w:r>
        <w:rPr>
          <w:rFonts w:hint="eastAsia"/>
        </w:rPr>
        <w:t>、</w:t>
      </w:r>
      <w:r>
        <w:rPr>
          <w:rFonts w:hint="eastAsia"/>
          <w:lang w:eastAsia="zh-CN"/>
        </w:rPr>
        <w:t>消防救援机构</w:t>
      </w:r>
      <w:r>
        <w:rPr>
          <w:rFonts w:hint="eastAsia"/>
        </w:rPr>
        <w:t>在各自的职责范围内负责违法建筑的处理工作；生态环境、文化广电旅游体育、卫生健康、市场监管、人口和房屋综合管理及其他有关部门和机构按照各自职责参与处理违法建筑工作。</w:t>
      </w:r>
    </w:p>
    <w:p>
      <w:pPr>
        <w:spacing w:line="560" w:lineRule="exact"/>
        <w:ind w:firstLine="645"/>
      </w:pPr>
      <w:r>
        <w:rPr>
          <w:rFonts w:hint="eastAsia" w:ascii="黑体" w:eastAsia="黑体"/>
        </w:rPr>
        <w:t>第四条</w:t>
      </w:r>
      <w:r>
        <w:rPr>
          <w:rFonts w:hint="eastAsia"/>
        </w:rPr>
        <w:t xml:space="preserve">  下列违法建筑不予确认产权：</w:t>
      </w:r>
    </w:p>
    <w:p>
      <w:pPr>
        <w:pStyle w:val="3"/>
        <w:ind w:firstLine="640"/>
      </w:pPr>
      <w:r>
        <w:t>(</w:t>
      </w:r>
      <w:r>
        <w:rPr>
          <w:rFonts w:hint="eastAsia"/>
        </w:rPr>
        <w:t>一)占用道路、广场、绿地、高压供电走廊和压占地下管线或者其他严重影响城市规划又不能采取改正措施的；</w:t>
      </w:r>
    </w:p>
    <w:p>
      <w:pPr>
        <w:pStyle w:val="3"/>
      </w:pPr>
      <w:r>
        <w:rPr>
          <w:rFonts w:hint="eastAsia"/>
        </w:rPr>
        <w:t>（二）占用农业保护区用地的；</w:t>
      </w:r>
    </w:p>
    <w:p>
      <w:pPr>
        <w:spacing w:line="560" w:lineRule="exact"/>
        <w:ind w:firstLine="645"/>
      </w:pPr>
      <w:r>
        <w:rPr>
          <w:rFonts w:hint="eastAsia"/>
        </w:rPr>
        <w:t>（三）占用一级水源保护区用地的；</w:t>
      </w:r>
    </w:p>
    <w:p>
      <w:pPr>
        <w:spacing w:line="560" w:lineRule="exact"/>
        <w:ind w:firstLine="645"/>
      </w:pPr>
      <w:r>
        <w:rPr>
          <w:rFonts w:hint="eastAsia"/>
        </w:rPr>
        <w:t>（四）非法占用国家所有的土地或者原农村用地红线外其他土地的。</w:t>
      </w:r>
    </w:p>
    <w:p>
      <w:pPr>
        <w:spacing w:line="560" w:lineRule="exact"/>
        <w:ind w:firstLine="645"/>
      </w:pPr>
      <w:r>
        <w:rPr>
          <w:rFonts w:hint="eastAsia" w:ascii="黑体"/>
        </w:rPr>
        <w:t>前款不予确认产权的违法建筑依照《中华人民共和国土地管理法》《中华人民共和国城</w:t>
      </w:r>
      <w:r>
        <w:rPr>
          <w:rFonts w:ascii="黑体"/>
        </w:rPr>
        <w:t>乡</w:t>
      </w:r>
      <w:r>
        <w:rPr>
          <w:rFonts w:hint="eastAsia" w:ascii="黑体"/>
        </w:rPr>
        <w:t>规划法》《深圳经济特区规划土地监察条例》和其他有关法律、法规的规定予以查处。</w:t>
      </w:r>
    </w:p>
    <w:p>
      <w:pPr>
        <w:spacing w:line="560" w:lineRule="exact"/>
        <w:ind w:firstLine="645"/>
      </w:pPr>
      <w:r>
        <w:rPr>
          <w:rFonts w:hint="eastAsia" w:ascii="黑体" w:eastAsia="黑体"/>
        </w:rPr>
        <w:t>第五条</w:t>
      </w:r>
      <w:r>
        <w:rPr>
          <w:rFonts w:hint="eastAsia" w:eastAsia="黑体"/>
        </w:rPr>
        <w:t xml:space="preserve"> </w:t>
      </w:r>
      <w:r>
        <w:rPr>
          <w:rFonts w:hint="eastAsia"/>
        </w:rPr>
        <w:t xml:space="preserve"> 除本规定第四条第一款所列情形外</w:t>
      </w:r>
      <w:r>
        <w:t>,</w:t>
      </w:r>
      <w:r>
        <w:rPr>
          <w:rFonts w:hint="eastAsia"/>
        </w:rPr>
        <w:t>违法建筑由</w:t>
      </w:r>
      <w:r>
        <w:t>规划土地</w:t>
      </w:r>
      <w:r>
        <w:rPr>
          <w:rFonts w:hint="eastAsia"/>
        </w:rPr>
        <w:t>监</w:t>
      </w:r>
      <w:r>
        <w:t>察机构</w:t>
      </w:r>
      <w:r>
        <w:rPr>
          <w:rFonts w:hint="eastAsia"/>
        </w:rPr>
        <w:t>按照以下规定处理：</w:t>
      </w:r>
    </w:p>
    <w:p>
      <w:pPr>
        <w:spacing w:line="560" w:lineRule="exact"/>
        <w:ind w:firstLine="645"/>
      </w:pPr>
      <w:r>
        <w:rPr>
          <w:rFonts w:hint="eastAsia"/>
        </w:rPr>
        <w:t>（一）原农村集体经济组织的违法建筑，按</w:t>
      </w:r>
      <w:r>
        <w:t>照</w:t>
      </w:r>
      <w:r>
        <w:rPr>
          <w:rFonts w:hint="eastAsia"/>
        </w:rPr>
        <w:t>建筑面积每平方米</w:t>
      </w:r>
      <w:r>
        <w:t>十</w:t>
      </w:r>
      <w:r>
        <w:rPr>
          <w:rFonts w:hint="eastAsia"/>
        </w:rPr>
        <w:t>元的标准处以罚款；</w:t>
      </w:r>
    </w:p>
    <w:p>
      <w:pPr>
        <w:spacing w:line="560" w:lineRule="exact"/>
        <w:ind w:firstLine="645"/>
        <w:rPr>
          <w:rFonts w:ascii="黑体"/>
        </w:rPr>
      </w:pPr>
      <w:r>
        <w:rPr>
          <w:rFonts w:hint="eastAsia" w:ascii="黑体"/>
        </w:rPr>
        <w:t>（二）原农村集体经济组织和其他企业或者单位合作兴建的违法建筑，按</w:t>
      </w:r>
      <w:r>
        <w:rPr>
          <w:rFonts w:ascii="黑体"/>
        </w:rPr>
        <w:t>照</w:t>
      </w:r>
      <w:r>
        <w:rPr>
          <w:rFonts w:hint="eastAsia" w:ascii="黑体"/>
        </w:rPr>
        <w:t>建筑面积每平方米</w:t>
      </w:r>
      <w:r>
        <w:t>二十</w:t>
      </w:r>
      <w:r>
        <w:rPr>
          <w:rFonts w:hint="eastAsia" w:ascii="黑体"/>
        </w:rPr>
        <w:t>元的标准处以罚款；</w:t>
      </w:r>
    </w:p>
    <w:p>
      <w:pPr>
        <w:spacing w:line="560" w:lineRule="exact"/>
        <w:ind w:firstLine="645"/>
      </w:pPr>
      <w:r>
        <w:rPr>
          <w:rFonts w:hint="eastAsia"/>
        </w:rPr>
        <w:t>（三）其他企业或者单位的违法建筑，按</w:t>
      </w:r>
      <w:r>
        <w:t>照</w:t>
      </w:r>
      <w:r>
        <w:rPr>
          <w:rFonts w:hint="eastAsia"/>
        </w:rPr>
        <w:t>建筑面积每平方米</w:t>
      </w:r>
      <w:r>
        <w:t>三十</w:t>
      </w:r>
      <w:r>
        <w:rPr>
          <w:rFonts w:hint="eastAsia"/>
        </w:rPr>
        <w:t>元的标准处以罚款。</w:t>
      </w:r>
    </w:p>
    <w:p>
      <w:pPr>
        <w:spacing w:line="560" w:lineRule="exact"/>
        <w:ind w:firstLine="645"/>
      </w:pPr>
      <w:r>
        <w:rPr>
          <w:rFonts w:hint="eastAsia"/>
        </w:rPr>
        <w:t>违法建筑行为人缴纳罚款后，应</w:t>
      </w:r>
      <w:r>
        <w:t>当</w:t>
      </w:r>
      <w:r>
        <w:rPr>
          <w:rFonts w:hint="eastAsia"/>
        </w:rPr>
        <w:t>补办征地手续，补签土地使用权出让合同，由</w:t>
      </w:r>
      <w:r>
        <w:t>规划和自然资源部门</w:t>
      </w:r>
      <w:r>
        <w:rPr>
          <w:rFonts w:hint="eastAsia"/>
        </w:rPr>
        <w:t>确认产权，出让地价按照现行地价</w:t>
      </w:r>
      <w:r>
        <w:rPr>
          <w:rFonts w:hint="eastAsia" w:ascii="黑体"/>
        </w:rPr>
        <w:t>减免百分之七十五</w:t>
      </w:r>
      <w:r>
        <w:rPr>
          <w:rFonts w:hint="eastAsia"/>
        </w:rPr>
        <w:t>；前款第</w:t>
      </w:r>
      <w:r>
        <w:t>一</w:t>
      </w:r>
      <w:r>
        <w:rPr>
          <w:rFonts w:hint="eastAsia"/>
        </w:rPr>
        <w:t>项</w:t>
      </w:r>
      <w:r>
        <w:rPr>
          <w:rFonts w:hint="eastAsia"/>
          <w:lang w:val="en-US" w:eastAsia="zh-CN"/>
        </w:rPr>
        <w:t>原</w:t>
      </w:r>
      <w:r>
        <w:rPr>
          <w:rFonts w:hint="eastAsia"/>
        </w:rPr>
        <w:t>农村集体经济组织的违法建筑免缴地价，政府不再另行支付征地补偿安置费用。</w:t>
      </w:r>
    </w:p>
    <w:p>
      <w:pPr>
        <w:spacing w:line="560" w:lineRule="exact"/>
        <w:ind w:firstLine="645"/>
      </w:pPr>
      <w:r>
        <w:rPr>
          <w:rFonts w:hint="eastAsia"/>
        </w:rPr>
        <w:t>兴建本条第一款第</w:t>
      </w:r>
      <w:r>
        <w:t>二</w:t>
      </w:r>
      <w:r>
        <w:rPr>
          <w:rFonts w:hint="eastAsia"/>
          <w:lang w:eastAsia="zh-CN"/>
        </w:rPr>
        <w:t>项</w:t>
      </w:r>
      <w:r>
        <w:rPr>
          <w:rFonts w:hint="eastAsia"/>
        </w:rPr>
        <w:t>、</w:t>
      </w:r>
      <w:r>
        <w:rPr>
          <w:rFonts w:hint="eastAsia"/>
          <w:lang w:eastAsia="zh-CN"/>
        </w:rPr>
        <w:t>第</w:t>
      </w:r>
      <w:r>
        <w:t>三</w:t>
      </w:r>
      <w:r>
        <w:rPr>
          <w:rFonts w:hint="eastAsia"/>
        </w:rPr>
        <w:t>项所列违法建筑发生的非法转让农村集体土地使用权的行为免予处罚，其他企业或者单位已支付给</w:t>
      </w:r>
      <w:r>
        <w:t>原</w:t>
      </w:r>
      <w:r>
        <w:rPr>
          <w:rFonts w:hint="eastAsia"/>
        </w:rPr>
        <w:t>农村集体经济组织或者其成员的费用视为征地补偿安置费用。</w:t>
      </w:r>
    </w:p>
    <w:p>
      <w:pPr>
        <w:spacing w:line="560" w:lineRule="exact"/>
        <w:ind w:firstLine="645"/>
      </w:pPr>
      <w:r>
        <w:rPr>
          <w:rFonts w:hint="eastAsia" w:ascii="黑体" w:eastAsia="黑体"/>
        </w:rPr>
        <w:t>第六条</w:t>
      </w:r>
      <w:r>
        <w:rPr>
          <w:rFonts w:hint="eastAsia"/>
        </w:rPr>
        <w:t xml:space="preserve">  违法建筑行为人应当在本规定公布之日起一年内就所建违法建筑向规划国土资源部门申报。规划国土资源部门应当予以登记造册，进行处理。</w:t>
      </w:r>
    </w:p>
    <w:p>
      <w:pPr>
        <w:spacing w:line="560" w:lineRule="exact"/>
        <w:ind w:firstLine="645"/>
      </w:pPr>
      <w:r>
        <w:rPr>
          <w:rFonts w:hint="eastAsia" w:ascii="黑体" w:eastAsia="黑体"/>
        </w:rPr>
        <w:t>第七条</w:t>
      </w:r>
      <w:r>
        <w:rPr>
          <w:rFonts w:hint="eastAsia"/>
        </w:rPr>
        <w:t xml:space="preserve">  </w:t>
      </w:r>
      <w:r>
        <w:t>不动产登记机构</w:t>
      </w:r>
      <w:r>
        <w:rPr>
          <w:rFonts w:hint="eastAsia"/>
        </w:rPr>
        <w:t>对申请确认产权的违法建筑进行</w:t>
      </w:r>
      <w:r>
        <w:t>不动产</w:t>
      </w:r>
      <w:r>
        <w:rPr>
          <w:rFonts w:hint="eastAsia"/>
          <w:lang w:val="en-US" w:eastAsia="zh-CN"/>
        </w:rPr>
        <w:t>首次</w:t>
      </w:r>
      <w:r>
        <w:rPr>
          <w:rFonts w:hint="eastAsia"/>
        </w:rPr>
        <w:t>登记时，不受《深圳经济特区房地产登记条例》第三十条第</w:t>
      </w:r>
      <w:r>
        <w:t>四项、第五项、第七</w:t>
      </w:r>
      <w:r>
        <w:rPr>
          <w:rFonts w:hint="eastAsia"/>
        </w:rPr>
        <w:t>项规定的限制，但</w:t>
      </w:r>
      <w:r>
        <w:t>是</w:t>
      </w:r>
      <w:r>
        <w:rPr>
          <w:rFonts w:hint="eastAsia"/>
        </w:rPr>
        <w:t>违法建筑行为人应当提交建设工程质量检测机构出具的检测合格的证明文件和消防安全证明文件。</w:t>
      </w:r>
    </w:p>
    <w:p>
      <w:pPr>
        <w:spacing w:line="560" w:lineRule="exact"/>
        <w:ind w:firstLine="660"/>
      </w:pPr>
      <w:r>
        <w:rPr>
          <w:rFonts w:hint="eastAsia" w:ascii="黑体" w:eastAsia="黑体"/>
        </w:rPr>
        <w:t>第八条</w:t>
      </w:r>
      <w:r>
        <w:rPr>
          <w:rFonts w:hint="eastAsia" w:eastAsia="黑体"/>
        </w:rPr>
        <w:t xml:space="preserve"> </w:t>
      </w:r>
      <w:r>
        <w:rPr>
          <w:rFonts w:hint="eastAsia"/>
        </w:rPr>
        <w:t xml:space="preserve"> 依照本规定可以确认产权的违法建筑，违法建筑行为人</w:t>
      </w:r>
      <w:r>
        <w:rPr>
          <w:rFonts w:hint="eastAsia" w:ascii="黑体"/>
        </w:rPr>
        <w:t>按照本规定</w:t>
      </w:r>
      <w:r>
        <w:rPr>
          <w:rFonts w:hint="eastAsia"/>
        </w:rPr>
        <w:t>补办有关手续，接受处理</w:t>
      </w:r>
      <w:r>
        <w:rPr>
          <w:rFonts w:hint="eastAsia" w:ascii="黑体"/>
        </w:rPr>
        <w:t>后，</w:t>
      </w:r>
      <w:r>
        <w:rPr>
          <w:rFonts w:ascii="黑体"/>
        </w:rPr>
        <w:t>不动产登记机构</w:t>
      </w:r>
      <w:r>
        <w:rPr>
          <w:rFonts w:hint="eastAsia" w:ascii="黑体"/>
        </w:rPr>
        <w:t>应当按照《深圳经济特区房地产登记条例》规定的时限确认产权，发放</w:t>
      </w:r>
      <w:r>
        <w:rPr>
          <w:rFonts w:ascii="黑体"/>
        </w:rPr>
        <w:t>不动产权</w:t>
      </w:r>
      <w:r>
        <w:rPr>
          <w:rFonts w:hint="eastAsia" w:ascii="黑体"/>
        </w:rPr>
        <w:t>证书</w:t>
      </w:r>
      <w:r>
        <w:rPr>
          <w:rFonts w:hint="eastAsia"/>
        </w:rPr>
        <w:t>。</w:t>
      </w:r>
    </w:p>
    <w:p>
      <w:pPr>
        <w:spacing w:line="560" w:lineRule="exact"/>
        <w:ind w:firstLine="660"/>
      </w:pPr>
      <w:r>
        <w:rPr>
          <w:rFonts w:hint="eastAsia" w:ascii="黑体"/>
        </w:rPr>
        <w:t>违法建筑行为人</w:t>
      </w:r>
      <w:r>
        <w:rPr>
          <w:rFonts w:hint="eastAsia"/>
        </w:rPr>
        <w:t>拒不补办有关手续或者逾期不缴纳罚款、地价款的，</w:t>
      </w:r>
      <w:r>
        <w:t>依照</w:t>
      </w:r>
      <w:r>
        <w:rPr>
          <w:rFonts w:hint="eastAsia"/>
        </w:rPr>
        <w:t>《深圳市人民代表大会常务委员会关于坚决查处违法建筑的决定》和其他有关法律、法规的规定处理。</w:t>
      </w:r>
    </w:p>
    <w:p>
      <w:pPr>
        <w:spacing w:line="560" w:lineRule="exact"/>
      </w:pPr>
      <w:r>
        <w:rPr>
          <w:rFonts w:hint="eastAsia"/>
        </w:rPr>
        <w:t xml:space="preserve">    </w:t>
      </w:r>
      <w:r>
        <w:rPr>
          <w:rFonts w:hint="eastAsia" w:ascii="黑体" w:eastAsia="黑体"/>
        </w:rPr>
        <w:t>第九条</w:t>
      </w:r>
      <w:r>
        <w:rPr>
          <w:rFonts w:hint="eastAsia"/>
        </w:rPr>
        <w:t xml:space="preserve">  依照本规定确认产权的违法建筑因城市建设需要拆迁的，其补偿标准由市</w:t>
      </w:r>
      <w:r>
        <w:t>人民</w:t>
      </w:r>
      <w:r>
        <w:rPr>
          <w:rFonts w:hint="eastAsia"/>
        </w:rPr>
        <w:t>政府另行规定。</w:t>
      </w:r>
    </w:p>
    <w:p>
      <w:pPr>
        <w:spacing w:line="560" w:lineRule="exact"/>
      </w:pPr>
      <w:r>
        <w:rPr>
          <w:rFonts w:hint="eastAsia"/>
        </w:rPr>
        <w:t xml:space="preserve">   </w:t>
      </w:r>
      <w:r>
        <w:rPr>
          <w:rFonts w:hint="eastAsia" w:eastAsia="黑体"/>
        </w:rPr>
        <w:t xml:space="preserve"> </w:t>
      </w:r>
      <w:r>
        <w:rPr>
          <w:rFonts w:hint="eastAsia" w:ascii="黑体" w:eastAsia="黑体"/>
        </w:rPr>
        <w:t>第十条</w:t>
      </w:r>
      <w:r>
        <w:rPr>
          <w:rFonts w:hint="eastAsia"/>
        </w:rPr>
        <w:t xml:space="preserve">  1999年3月5日以后新建、改建、扩建违法建筑的违法行为，</w:t>
      </w:r>
      <w:r>
        <w:t>依照</w:t>
      </w:r>
      <w:r>
        <w:rPr>
          <w:rFonts w:hint="eastAsia"/>
        </w:rPr>
        <w:t>《深圳市人民代表大会常务委员会关于坚决查处违法建筑的决定》和其他有关法律、法规的规定从严查处。</w:t>
      </w:r>
    </w:p>
    <w:p>
      <w:pPr>
        <w:spacing w:line="560" w:lineRule="exact"/>
      </w:pPr>
      <w:r>
        <w:rPr>
          <w:rFonts w:hint="eastAsia"/>
        </w:rPr>
        <w:t xml:space="preserve">   </w:t>
      </w:r>
      <w:r>
        <w:t xml:space="preserve"> </w:t>
      </w:r>
      <w:r>
        <w:rPr>
          <w:rFonts w:hint="eastAsia" w:ascii="黑体" w:eastAsia="黑体"/>
        </w:rPr>
        <w:t>第十一条</w:t>
      </w:r>
      <w:r>
        <w:rPr>
          <w:rFonts w:hint="eastAsia"/>
        </w:rPr>
        <w:t xml:space="preserve">  市</w:t>
      </w:r>
      <w:r>
        <w:t>人民</w:t>
      </w:r>
      <w:r>
        <w:rPr>
          <w:rFonts w:hint="eastAsia"/>
        </w:rPr>
        <w:t>政府可以根据本规定制定实施细则。</w:t>
      </w:r>
    </w:p>
    <w:p>
      <w:pPr>
        <w:pStyle w:val="3"/>
      </w:pPr>
      <w:r>
        <w:rPr>
          <w:rFonts w:hint="eastAsia"/>
        </w:rPr>
        <w:t>各区</w:t>
      </w:r>
      <w:r>
        <w:t>人民</w:t>
      </w:r>
      <w:r>
        <w:rPr>
          <w:rFonts w:hint="eastAsia"/>
        </w:rPr>
        <w:t>政府可以根据本规定，结合本区实际情况制定实施办法，报市</w:t>
      </w:r>
      <w:r>
        <w:t>人民</w:t>
      </w:r>
      <w:r>
        <w:rPr>
          <w:rFonts w:hint="eastAsia"/>
        </w:rPr>
        <w:t>政府备案。</w:t>
      </w:r>
    </w:p>
    <w:p>
      <w:pPr>
        <w:spacing w:line="560" w:lineRule="exact"/>
        <w:ind w:firstLine="645"/>
      </w:pPr>
      <w:r>
        <w:rPr>
          <w:rFonts w:hint="eastAsia" w:ascii="黑体" w:eastAsia="黑体"/>
        </w:rPr>
        <w:t>第十二条</w:t>
      </w:r>
      <w:r>
        <w:rPr>
          <w:rFonts w:hint="eastAsia"/>
        </w:rPr>
        <w:t xml:space="preserve">  本规定自2002年3月1</w:t>
      </w:r>
      <w:r>
        <w:rPr>
          <w:rFonts w:hint="eastAsia" w:ascii="黑体"/>
        </w:rPr>
        <w:t>日</w:t>
      </w:r>
      <w:r>
        <w:rPr>
          <w:rFonts w:hint="eastAsia"/>
        </w:rPr>
        <w:t>起施行。</w:t>
      </w:r>
    </w:p>
    <w:p>
      <w:pPr>
        <w:spacing w:line="560" w:lineRule="exact"/>
      </w:pPr>
      <w:r>
        <w:rPr>
          <w:rFonts w:hint="eastAsia"/>
        </w:rPr>
        <w:t xml:space="preserve">    本规定施行以前处理违法建筑的有关规定与本规定不一致的，以本规定为准。</w:t>
      </w:r>
    </w:p>
    <w:p/>
    <w:sectPr>
      <w:footerReference r:id="rId3" w:type="default"/>
      <w:pgSz w:w="11906" w:h="16838"/>
      <w:pgMar w:top="2098" w:right="1587" w:bottom="1814" w:left="1587" w:header="851" w:footer="141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24974530"/>
                  <w:docPartObj>
                    <w:docPartGallery w:val="autotext"/>
                  </w:docPartObj>
                </w:sdtPr>
                <w:sdtContent>
                  <w:p>
                    <w:pPr>
                      <w:pStyle w:val="5"/>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2</w:t>
                    </w:r>
                    <w:r>
                      <w:rPr>
                        <w:rFonts w:hint="eastAsia" w:asciiTheme="minorEastAsia" w:hAnsiTheme="minorEastAsia" w:eastAsiaTheme="minorEastAsia" w:cstheme="minorEastAsia"/>
                        <w:sz w:val="28"/>
                        <w:szCs w:val="28"/>
                      </w:rPr>
                      <w:fldChar w:fldCharType="end"/>
                    </w:r>
                  </w:p>
                </w:sdtContent>
              </w:sdt>
              <w:p/>
            </w:txbxContent>
          </v:textbox>
        </v:shape>
      </w:pic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2AE9"/>
    <w:rsid w:val="00977E67"/>
    <w:rsid w:val="00AA6636"/>
    <w:rsid w:val="00CA6E30"/>
    <w:rsid w:val="00CD1015"/>
    <w:rsid w:val="00D42AE9"/>
    <w:rsid w:val="179A772D"/>
    <w:rsid w:val="25294603"/>
    <w:rsid w:val="3A50178D"/>
    <w:rsid w:val="674A2BDA"/>
    <w:rsid w:val="6CAF65E2"/>
    <w:rsid w:val="73F646C6"/>
    <w:rsid w:val="7E1D6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0"/>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style>
  <w:style w:type="paragraph" w:styleId="3">
    <w:name w:val="Body Text Indent"/>
    <w:basedOn w:val="1"/>
    <w:link w:val="11"/>
    <w:qFormat/>
    <w:uiPriority w:val="0"/>
    <w:pPr>
      <w:spacing w:line="560" w:lineRule="exact"/>
      <w:ind w:firstLine="645"/>
    </w:pPr>
  </w:style>
  <w:style w:type="paragraph" w:styleId="4">
    <w:name w:val="Balloon Text"/>
    <w:basedOn w:val="1"/>
    <w:link w:val="12"/>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unhideWhenUsed/>
    <w:qFormat/>
    <w:uiPriority w:val="99"/>
    <w:rPr>
      <w:sz w:val="21"/>
      <w:szCs w:val="21"/>
    </w:rPr>
  </w:style>
  <w:style w:type="character" w:customStyle="1" w:styleId="10">
    <w:name w:val="批注文字 Char"/>
    <w:basedOn w:val="8"/>
    <w:link w:val="2"/>
    <w:qFormat/>
    <w:uiPriority w:val="0"/>
    <w:rPr>
      <w:rFonts w:ascii="仿宋_GB2312" w:hAnsi="Times New Roman" w:eastAsia="仿宋_GB2312" w:cs="Times New Roman"/>
      <w:sz w:val="32"/>
      <w:szCs w:val="20"/>
    </w:rPr>
  </w:style>
  <w:style w:type="character" w:customStyle="1" w:styleId="11">
    <w:name w:val="正文文本缩进 Char"/>
    <w:basedOn w:val="8"/>
    <w:link w:val="3"/>
    <w:qFormat/>
    <w:uiPriority w:val="0"/>
    <w:rPr>
      <w:rFonts w:ascii="仿宋_GB2312" w:hAnsi="Times New Roman" w:eastAsia="仿宋_GB2312" w:cs="Times New Roman"/>
      <w:sz w:val="32"/>
      <w:szCs w:val="20"/>
    </w:rPr>
  </w:style>
  <w:style w:type="character" w:customStyle="1" w:styleId="12">
    <w:name w:val="批注框文本 Char"/>
    <w:basedOn w:val="8"/>
    <w:link w:val="4"/>
    <w:semiHidden/>
    <w:qFormat/>
    <w:uiPriority w:val="99"/>
    <w:rPr>
      <w:rFonts w:ascii="仿宋_GB2312" w:hAnsi="Times New Roman" w:eastAsia="仿宋_GB2312" w:cs="Times New Roman"/>
      <w:sz w:val="18"/>
      <w:szCs w:val="18"/>
    </w:rPr>
  </w:style>
  <w:style w:type="character" w:customStyle="1" w:styleId="13">
    <w:name w:val="页眉 Char"/>
    <w:basedOn w:val="8"/>
    <w:link w:val="6"/>
    <w:semiHidden/>
    <w:qFormat/>
    <w:uiPriority w:val="99"/>
    <w:rPr>
      <w:rFonts w:ascii="仿宋_GB2312" w:hAnsi="Times New Roman" w:eastAsia="仿宋_GB2312" w:cs="Times New Roman"/>
      <w:sz w:val="18"/>
      <w:szCs w:val="18"/>
    </w:rPr>
  </w:style>
  <w:style w:type="character" w:customStyle="1" w:styleId="14">
    <w:name w:val="页脚 Char"/>
    <w:basedOn w:val="8"/>
    <w:link w:val="5"/>
    <w:qFormat/>
    <w:uiPriority w:val="99"/>
    <w:rPr>
      <w:rFonts w:ascii="仿宋_GB2312"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B6F5E6-3547-4971-AEBF-108E3D996C98}">
  <ds:schemaRefs/>
</ds:datastoreItem>
</file>

<file path=docProps/app.xml><?xml version="1.0" encoding="utf-8"?>
<Properties xmlns="http://schemas.openxmlformats.org/officeDocument/2006/extended-properties" xmlns:vt="http://schemas.openxmlformats.org/officeDocument/2006/docPropsVTypes">
  <Template>Normal</Template>
  <Pages>4</Pages>
  <Words>259</Words>
  <Characters>1480</Characters>
  <Lines>12</Lines>
  <Paragraphs>3</Paragraphs>
  <TotalTime>0</TotalTime>
  <ScaleCrop>false</ScaleCrop>
  <LinksUpToDate>false</LinksUpToDate>
  <CharactersWithSpaces>1736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2019-07-05T02:35:00Z</dcterms:created>
  <dc:creator>szedu</dc:creator>
  <cp:lastModifiedBy>chang</cp:lastModifiedBy>
  <dcterms:modified xsi:type="dcterms:W3CDTF">2020-02-16T06:29:33Z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