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11A9A" w:rsidRDefault="00F11A9A" w:rsidP="00F11A9A">
      <w:pPr>
        <w:widowControl/>
        <w:adjustRightInd w:val="0"/>
        <w:snapToGrid w:val="0"/>
        <w:spacing w:line="360" w:lineRule="auto"/>
        <w:jc w:val="center"/>
        <w:rPr>
          <w:rFonts w:asciiTheme="majorEastAsia" w:eastAsiaTheme="majorEastAsia" w:hAnsiTheme="majorEastAsia" w:hint="eastAsia"/>
          <w:snapToGrid w:val="0"/>
          <w:spacing w:val="15"/>
          <w:kern w:val="0"/>
          <w:szCs w:val="32"/>
        </w:rPr>
      </w:pPr>
    </w:p>
    <w:p w:rsidR="00F11A9A" w:rsidRDefault="00F11A9A" w:rsidP="00F11A9A">
      <w:pPr>
        <w:widowControl/>
        <w:adjustRightInd w:val="0"/>
        <w:snapToGrid w:val="0"/>
        <w:spacing w:line="360" w:lineRule="auto"/>
        <w:jc w:val="center"/>
        <w:rPr>
          <w:rFonts w:asciiTheme="majorEastAsia" w:eastAsiaTheme="majorEastAsia" w:hAnsiTheme="majorEastAsia" w:hint="eastAsia"/>
          <w:snapToGrid w:val="0"/>
          <w:spacing w:val="15"/>
          <w:kern w:val="0"/>
          <w:szCs w:val="32"/>
        </w:rPr>
      </w:pPr>
    </w:p>
    <w:p w:rsidR="00F11A9A" w:rsidRPr="00F11A9A" w:rsidRDefault="00F11A9A" w:rsidP="00F11A9A">
      <w:pPr>
        <w:widowControl/>
        <w:adjustRightInd w:val="0"/>
        <w:snapToGrid w:val="0"/>
        <w:spacing w:line="240" w:lineRule="auto"/>
        <w:jc w:val="center"/>
        <w:rPr>
          <w:rFonts w:asciiTheme="majorEastAsia" w:eastAsiaTheme="majorEastAsia" w:hAnsiTheme="majorEastAsia"/>
          <w:snapToGrid w:val="0"/>
          <w:spacing w:val="15"/>
          <w:kern w:val="0"/>
          <w:sz w:val="44"/>
          <w:szCs w:val="44"/>
        </w:rPr>
      </w:pPr>
      <w:r w:rsidRPr="00F11A9A">
        <w:rPr>
          <w:rFonts w:asciiTheme="majorEastAsia" w:eastAsiaTheme="majorEastAsia" w:hAnsiTheme="majorEastAsia" w:hint="eastAsia"/>
          <w:snapToGrid w:val="0"/>
          <w:spacing w:val="15"/>
          <w:kern w:val="0"/>
          <w:sz w:val="44"/>
          <w:szCs w:val="44"/>
        </w:rPr>
        <w:t>温州市城市绿化条例</w:t>
      </w:r>
    </w:p>
    <w:p w:rsidR="00F11A9A" w:rsidRDefault="00F11A9A" w:rsidP="00F11A9A">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p>
    <w:p w:rsidR="00F11A9A" w:rsidRPr="00F11A9A" w:rsidRDefault="00F11A9A" w:rsidP="00F11A9A">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F11A9A">
        <w:rPr>
          <w:rFonts w:ascii="楷体_GB2312" w:eastAsia="楷体_GB2312" w:hAnsiTheme="minorEastAsia" w:cs="仿宋_GB2312"/>
          <w:color w:val="000000"/>
          <w:kern w:val="0"/>
          <w:szCs w:val="21"/>
          <w:lang w:val="zh-CN"/>
        </w:rPr>
        <w:t>（201</w:t>
      </w:r>
      <w:r w:rsidRPr="00F11A9A">
        <w:rPr>
          <w:rFonts w:ascii="楷体_GB2312" w:eastAsia="楷体_GB2312" w:hAnsiTheme="minorEastAsia" w:cs="仿宋_GB2312" w:hint="eastAsia"/>
          <w:color w:val="000000"/>
          <w:kern w:val="0"/>
          <w:szCs w:val="21"/>
          <w:lang w:val="zh-CN"/>
        </w:rPr>
        <w:t>7</w:t>
      </w:r>
      <w:r w:rsidRPr="00F11A9A">
        <w:rPr>
          <w:rFonts w:ascii="楷体_GB2312" w:eastAsia="楷体_GB2312" w:hAnsiTheme="minorEastAsia" w:cs="仿宋_GB2312"/>
          <w:color w:val="000000"/>
          <w:kern w:val="0"/>
          <w:szCs w:val="21"/>
          <w:lang w:val="zh-CN"/>
        </w:rPr>
        <w:t>年1</w:t>
      </w:r>
      <w:r w:rsidRPr="00F11A9A">
        <w:rPr>
          <w:rFonts w:ascii="楷体_GB2312" w:eastAsia="楷体_GB2312" w:hAnsiTheme="minorEastAsia" w:cs="仿宋_GB2312" w:hint="eastAsia"/>
          <w:color w:val="000000"/>
          <w:kern w:val="0"/>
          <w:szCs w:val="21"/>
          <w:lang w:val="zh-CN"/>
        </w:rPr>
        <w:t>0</w:t>
      </w:r>
      <w:r w:rsidRPr="00F11A9A">
        <w:rPr>
          <w:rFonts w:ascii="楷体_GB2312" w:eastAsia="楷体_GB2312" w:hAnsiTheme="minorEastAsia" w:cs="仿宋_GB2312"/>
          <w:color w:val="000000"/>
          <w:kern w:val="0"/>
          <w:szCs w:val="21"/>
          <w:lang w:val="zh-CN"/>
        </w:rPr>
        <w:t>月</w:t>
      </w:r>
      <w:r w:rsidRPr="00F11A9A">
        <w:rPr>
          <w:rFonts w:ascii="楷体_GB2312" w:eastAsia="楷体_GB2312" w:hAnsiTheme="minorEastAsia" w:cs="仿宋_GB2312" w:hint="eastAsia"/>
          <w:color w:val="000000"/>
          <w:kern w:val="0"/>
          <w:szCs w:val="21"/>
          <w:lang w:val="zh-CN"/>
        </w:rPr>
        <w:t>31</w:t>
      </w:r>
      <w:r w:rsidRPr="00F11A9A">
        <w:rPr>
          <w:rFonts w:ascii="楷体_GB2312" w:eastAsia="楷体_GB2312" w:hAnsiTheme="minorEastAsia" w:cs="仿宋_GB2312"/>
          <w:color w:val="000000"/>
          <w:kern w:val="0"/>
          <w:szCs w:val="21"/>
          <w:lang w:val="zh-CN"/>
        </w:rPr>
        <w:t>日温州市第十</w:t>
      </w:r>
      <w:r w:rsidRPr="00F11A9A">
        <w:rPr>
          <w:rFonts w:ascii="楷体_GB2312" w:eastAsia="楷体_GB2312" w:hAnsiTheme="minorEastAsia" w:cs="仿宋_GB2312" w:hint="eastAsia"/>
          <w:color w:val="000000"/>
          <w:kern w:val="0"/>
          <w:szCs w:val="21"/>
          <w:lang w:val="zh-CN"/>
        </w:rPr>
        <w:t>三</w:t>
      </w:r>
      <w:r w:rsidRPr="00F11A9A">
        <w:rPr>
          <w:rFonts w:ascii="楷体_GB2312" w:eastAsia="楷体_GB2312" w:hAnsiTheme="minorEastAsia" w:cs="仿宋_GB2312"/>
          <w:color w:val="000000"/>
          <w:kern w:val="0"/>
          <w:szCs w:val="21"/>
          <w:lang w:val="zh-CN"/>
        </w:rPr>
        <w:t>届人民代表大会常务委员会第</w:t>
      </w:r>
      <w:r w:rsidRPr="00F11A9A">
        <w:rPr>
          <w:rFonts w:ascii="楷体_GB2312" w:eastAsia="楷体_GB2312" w:hAnsiTheme="minorEastAsia" w:cs="仿宋_GB2312" w:hint="eastAsia"/>
          <w:color w:val="000000"/>
          <w:kern w:val="0"/>
          <w:szCs w:val="21"/>
          <w:lang w:val="zh-CN"/>
        </w:rPr>
        <w:t>五</w:t>
      </w:r>
      <w:r w:rsidRPr="00F11A9A">
        <w:rPr>
          <w:rFonts w:ascii="楷体_GB2312" w:eastAsia="楷体_GB2312" w:hAnsiTheme="minorEastAsia" w:cs="仿宋_GB2312"/>
          <w:color w:val="000000"/>
          <w:kern w:val="0"/>
          <w:szCs w:val="21"/>
          <w:lang w:val="zh-CN"/>
        </w:rPr>
        <w:t>次会议通过</w:t>
      </w:r>
      <w:r w:rsidRPr="00F11A9A">
        <w:rPr>
          <w:rFonts w:ascii="楷体_GB2312" w:eastAsia="楷体_GB2312" w:hAnsiTheme="minorEastAsia" w:cs="仿宋_GB2312" w:hint="eastAsia"/>
          <w:color w:val="000000"/>
          <w:kern w:val="0"/>
          <w:szCs w:val="21"/>
          <w:lang w:val="zh-CN"/>
        </w:rPr>
        <w:t xml:space="preserve">  </w:t>
      </w:r>
      <w:r w:rsidRPr="00F11A9A">
        <w:rPr>
          <w:rFonts w:ascii="楷体_GB2312" w:eastAsia="楷体_GB2312" w:hAnsiTheme="minorEastAsia" w:cs="仿宋_GB2312"/>
          <w:color w:val="000000"/>
          <w:kern w:val="0"/>
          <w:szCs w:val="21"/>
          <w:lang w:val="zh-CN"/>
        </w:rPr>
        <w:t>201</w:t>
      </w:r>
      <w:r w:rsidRPr="00F11A9A">
        <w:rPr>
          <w:rFonts w:ascii="楷体_GB2312" w:eastAsia="楷体_GB2312" w:hAnsiTheme="minorEastAsia" w:cs="仿宋_GB2312" w:hint="eastAsia"/>
          <w:color w:val="000000"/>
          <w:kern w:val="0"/>
          <w:szCs w:val="21"/>
          <w:lang w:val="zh-CN"/>
        </w:rPr>
        <w:t>7</w:t>
      </w:r>
      <w:r w:rsidRPr="00F11A9A">
        <w:rPr>
          <w:rFonts w:ascii="楷体_GB2312" w:eastAsia="楷体_GB2312" w:hAnsiTheme="minorEastAsia" w:cs="仿宋_GB2312"/>
          <w:color w:val="000000"/>
          <w:kern w:val="0"/>
          <w:szCs w:val="21"/>
          <w:lang w:val="zh-CN"/>
        </w:rPr>
        <w:t>年</w:t>
      </w:r>
      <w:r w:rsidRPr="00F11A9A">
        <w:rPr>
          <w:rFonts w:ascii="楷体_GB2312" w:eastAsia="楷体_GB2312" w:hAnsiTheme="minorEastAsia" w:cs="仿宋_GB2312" w:hint="eastAsia"/>
          <w:color w:val="000000"/>
          <w:kern w:val="0"/>
          <w:szCs w:val="21"/>
          <w:lang w:val="zh-CN"/>
        </w:rPr>
        <w:t>11</w:t>
      </w:r>
      <w:r w:rsidRPr="00F11A9A">
        <w:rPr>
          <w:rFonts w:ascii="楷体_GB2312" w:eastAsia="楷体_GB2312" w:hAnsiTheme="minorEastAsia" w:cs="仿宋_GB2312"/>
          <w:color w:val="000000"/>
          <w:kern w:val="0"/>
          <w:szCs w:val="21"/>
          <w:lang w:val="zh-CN"/>
        </w:rPr>
        <w:t>月</w:t>
      </w:r>
      <w:r w:rsidRPr="00F11A9A">
        <w:rPr>
          <w:rFonts w:ascii="楷体_GB2312" w:eastAsia="楷体_GB2312" w:hAnsiTheme="minorEastAsia" w:cs="仿宋_GB2312" w:hint="eastAsia"/>
          <w:color w:val="000000"/>
          <w:kern w:val="0"/>
          <w:szCs w:val="21"/>
          <w:lang w:val="zh-CN"/>
        </w:rPr>
        <w:t>30</w:t>
      </w:r>
      <w:r w:rsidRPr="00F11A9A">
        <w:rPr>
          <w:rFonts w:ascii="楷体_GB2312" w:eastAsia="楷体_GB2312" w:hAnsiTheme="minorEastAsia" w:cs="仿宋_GB2312"/>
          <w:color w:val="000000"/>
          <w:kern w:val="0"/>
          <w:szCs w:val="21"/>
          <w:lang w:val="zh-CN"/>
        </w:rPr>
        <w:t>日浙江省第</w:t>
      </w:r>
      <w:r w:rsidRPr="00F11A9A">
        <w:rPr>
          <w:rFonts w:ascii="楷体_GB2312" w:eastAsia="楷体_GB2312" w:hAnsiTheme="minorEastAsia" w:cs="仿宋_GB2312" w:hint="eastAsia"/>
          <w:color w:val="000000"/>
          <w:kern w:val="0"/>
          <w:szCs w:val="21"/>
          <w:lang w:val="zh-CN"/>
        </w:rPr>
        <w:t>十二</w:t>
      </w:r>
      <w:r w:rsidRPr="00F11A9A">
        <w:rPr>
          <w:rFonts w:ascii="楷体_GB2312" w:eastAsia="楷体_GB2312" w:hAnsiTheme="minorEastAsia" w:cs="仿宋_GB2312"/>
          <w:color w:val="000000"/>
          <w:kern w:val="0"/>
          <w:szCs w:val="21"/>
          <w:lang w:val="zh-CN"/>
        </w:rPr>
        <w:t>届人民代表大会常务委员会第</w:t>
      </w:r>
      <w:r w:rsidRPr="00F11A9A">
        <w:rPr>
          <w:rFonts w:ascii="楷体_GB2312" w:eastAsia="楷体_GB2312" w:hAnsiTheme="minorEastAsia" w:cs="仿宋_GB2312" w:hint="eastAsia"/>
          <w:color w:val="000000"/>
          <w:kern w:val="0"/>
          <w:szCs w:val="21"/>
          <w:lang w:val="zh-CN"/>
        </w:rPr>
        <w:t>四十五</w:t>
      </w:r>
      <w:r w:rsidRPr="00F11A9A">
        <w:rPr>
          <w:rFonts w:ascii="楷体_GB2312" w:eastAsia="楷体_GB2312" w:hAnsiTheme="minorEastAsia" w:cs="仿宋_GB2312"/>
          <w:color w:val="000000"/>
          <w:kern w:val="0"/>
          <w:szCs w:val="21"/>
          <w:lang w:val="zh-CN"/>
        </w:rPr>
        <w:t>次会议批准）</w:t>
      </w:r>
    </w:p>
    <w:p w:rsidR="00F11A9A" w:rsidRPr="001716C9" w:rsidRDefault="00F11A9A" w:rsidP="00F11A9A">
      <w:pPr>
        <w:adjustRightInd w:val="0"/>
        <w:snapToGrid w:val="0"/>
        <w:spacing w:line="360" w:lineRule="auto"/>
        <w:rPr>
          <w:rFonts w:eastAsia="楷体_GB2312"/>
          <w:spacing w:val="-4"/>
          <w:szCs w:val="32"/>
        </w:rPr>
      </w:pPr>
    </w:p>
    <w:p w:rsidR="00F11A9A" w:rsidRPr="003B66C1" w:rsidRDefault="00F11A9A" w:rsidP="00365B23">
      <w:pPr>
        <w:adjustRightInd w:val="0"/>
        <w:spacing w:line="240" w:lineRule="auto"/>
        <w:jc w:val="center"/>
        <w:rPr>
          <w:rFonts w:ascii="楷体_GB2312" w:eastAsia="楷体_GB2312" w:hAnsi="黑体" w:hint="eastAsia"/>
          <w:spacing w:val="-4"/>
          <w:szCs w:val="32"/>
        </w:rPr>
      </w:pPr>
      <w:r w:rsidRPr="003B66C1">
        <w:rPr>
          <w:rFonts w:ascii="楷体_GB2312" w:eastAsia="楷体_GB2312" w:hAnsi="黑体" w:hint="eastAsia"/>
          <w:spacing w:val="-4"/>
          <w:szCs w:val="32"/>
        </w:rPr>
        <w:t xml:space="preserve">目  </w:t>
      </w:r>
      <w:r w:rsidR="003B66C1">
        <w:rPr>
          <w:rFonts w:ascii="楷体_GB2312" w:eastAsia="楷体_GB2312" w:hAnsi="黑体" w:hint="eastAsia"/>
          <w:spacing w:val="-4"/>
          <w:szCs w:val="32"/>
        </w:rPr>
        <w:t xml:space="preserve">  </w:t>
      </w:r>
      <w:r w:rsidRPr="003B66C1">
        <w:rPr>
          <w:rFonts w:ascii="楷体_GB2312" w:eastAsia="楷体_GB2312" w:hAnsi="黑体" w:hint="eastAsia"/>
          <w:spacing w:val="-4"/>
          <w:szCs w:val="32"/>
        </w:rPr>
        <w:t>录</w:t>
      </w:r>
    </w:p>
    <w:p w:rsidR="00F11A9A" w:rsidRPr="003B66C1" w:rsidRDefault="00F11A9A" w:rsidP="00365B23">
      <w:pPr>
        <w:adjustRightInd w:val="0"/>
        <w:spacing w:line="240" w:lineRule="auto"/>
        <w:rPr>
          <w:rFonts w:ascii="楷体_GB2312" w:eastAsia="楷体_GB2312" w:hAnsi="楷体" w:hint="eastAsia"/>
          <w:spacing w:val="-4"/>
          <w:szCs w:val="32"/>
        </w:rPr>
      </w:pPr>
    </w:p>
    <w:p w:rsidR="00F11A9A" w:rsidRPr="003B66C1" w:rsidRDefault="00F11A9A" w:rsidP="00365B23">
      <w:pPr>
        <w:adjustRightInd w:val="0"/>
        <w:spacing w:line="240" w:lineRule="auto"/>
        <w:ind w:firstLineChars="200" w:firstLine="636"/>
        <w:rPr>
          <w:rFonts w:ascii="楷体_GB2312" w:eastAsia="楷体_GB2312" w:hAnsi="黑体" w:hint="eastAsia"/>
          <w:spacing w:val="-4"/>
          <w:szCs w:val="32"/>
        </w:rPr>
      </w:pPr>
      <w:r w:rsidRPr="003B66C1">
        <w:rPr>
          <w:rFonts w:ascii="楷体_GB2312" w:eastAsia="楷体_GB2312" w:hAnsi="黑体" w:hint="eastAsia"/>
          <w:spacing w:val="-4"/>
          <w:szCs w:val="32"/>
        </w:rPr>
        <w:t>第一章  总则</w:t>
      </w:r>
    </w:p>
    <w:p w:rsidR="00F11A9A" w:rsidRPr="003B66C1" w:rsidRDefault="00F11A9A" w:rsidP="00365B23">
      <w:pPr>
        <w:adjustRightInd w:val="0"/>
        <w:spacing w:line="240" w:lineRule="auto"/>
        <w:ind w:firstLineChars="200" w:firstLine="636"/>
        <w:rPr>
          <w:rFonts w:ascii="楷体_GB2312" w:eastAsia="楷体_GB2312" w:hAnsi="黑体" w:hint="eastAsia"/>
          <w:spacing w:val="-4"/>
          <w:szCs w:val="32"/>
        </w:rPr>
      </w:pPr>
      <w:r w:rsidRPr="003B66C1">
        <w:rPr>
          <w:rFonts w:ascii="楷体_GB2312" w:eastAsia="楷体_GB2312" w:hAnsi="黑体" w:hint="eastAsia"/>
          <w:spacing w:val="-4"/>
          <w:szCs w:val="32"/>
        </w:rPr>
        <w:t>第二章  规划和建设</w:t>
      </w:r>
    </w:p>
    <w:p w:rsidR="00F11A9A" w:rsidRPr="003B66C1" w:rsidRDefault="00F11A9A" w:rsidP="00365B23">
      <w:pPr>
        <w:adjustRightInd w:val="0"/>
        <w:spacing w:line="240" w:lineRule="auto"/>
        <w:ind w:firstLineChars="200" w:firstLine="636"/>
        <w:rPr>
          <w:rFonts w:ascii="楷体_GB2312" w:eastAsia="楷体_GB2312" w:hAnsi="黑体" w:hint="eastAsia"/>
          <w:spacing w:val="-4"/>
          <w:szCs w:val="32"/>
        </w:rPr>
      </w:pPr>
      <w:r w:rsidRPr="003B66C1">
        <w:rPr>
          <w:rFonts w:ascii="楷体_GB2312" w:eastAsia="楷体_GB2312" w:hAnsi="黑体" w:hint="eastAsia"/>
          <w:spacing w:val="-4"/>
          <w:szCs w:val="32"/>
        </w:rPr>
        <w:t>第三章  保护和管理</w:t>
      </w:r>
    </w:p>
    <w:p w:rsidR="00F11A9A" w:rsidRPr="003B66C1" w:rsidRDefault="00F11A9A" w:rsidP="00365B23">
      <w:pPr>
        <w:adjustRightInd w:val="0"/>
        <w:spacing w:line="240" w:lineRule="auto"/>
        <w:ind w:firstLineChars="200" w:firstLine="636"/>
        <w:rPr>
          <w:rFonts w:ascii="楷体_GB2312" w:eastAsia="楷体_GB2312" w:hAnsi="黑体" w:hint="eastAsia"/>
          <w:spacing w:val="-4"/>
          <w:szCs w:val="32"/>
        </w:rPr>
      </w:pPr>
      <w:r w:rsidRPr="003B66C1">
        <w:rPr>
          <w:rFonts w:ascii="楷体_GB2312" w:eastAsia="楷体_GB2312" w:hAnsi="黑体" w:hint="eastAsia"/>
          <w:spacing w:val="-4"/>
          <w:szCs w:val="32"/>
        </w:rPr>
        <w:t>第四章  法律责任</w:t>
      </w:r>
    </w:p>
    <w:p w:rsidR="00F11A9A" w:rsidRPr="003B66C1" w:rsidRDefault="00F11A9A" w:rsidP="00365B23">
      <w:pPr>
        <w:adjustRightInd w:val="0"/>
        <w:spacing w:line="240" w:lineRule="auto"/>
        <w:ind w:firstLineChars="200" w:firstLine="636"/>
        <w:rPr>
          <w:rFonts w:ascii="楷体_GB2312" w:eastAsia="楷体_GB2312" w:hAnsi="仿宋" w:hint="eastAsia"/>
          <w:spacing w:val="-4"/>
          <w:szCs w:val="32"/>
        </w:rPr>
      </w:pPr>
      <w:r w:rsidRPr="003B66C1">
        <w:rPr>
          <w:rFonts w:ascii="楷体_GB2312" w:eastAsia="楷体_GB2312" w:hAnsi="黑体" w:hint="eastAsia"/>
          <w:spacing w:val="-4"/>
          <w:szCs w:val="32"/>
        </w:rPr>
        <w:t>第五章  附则</w:t>
      </w:r>
    </w:p>
    <w:p w:rsidR="006F0E4C" w:rsidRDefault="006F0E4C" w:rsidP="00365B23">
      <w:pPr>
        <w:adjustRightInd w:val="0"/>
        <w:spacing w:line="240" w:lineRule="auto"/>
        <w:rPr>
          <w:rFonts w:ascii="黑体" w:eastAsia="黑体" w:hint="eastAsia"/>
          <w:spacing w:val="-4"/>
          <w:szCs w:val="32"/>
        </w:rPr>
      </w:pPr>
    </w:p>
    <w:p w:rsidR="00F11A9A" w:rsidRDefault="00F11A9A" w:rsidP="00365B23">
      <w:pPr>
        <w:adjustRightInd w:val="0"/>
        <w:spacing w:line="240" w:lineRule="auto"/>
        <w:jc w:val="center"/>
        <w:rPr>
          <w:rFonts w:ascii="黑体" w:eastAsia="黑体" w:hint="eastAsia"/>
          <w:spacing w:val="-4"/>
          <w:szCs w:val="32"/>
        </w:rPr>
      </w:pPr>
      <w:r>
        <w:rPr>
          <w:rFonts w:ascii="黑体" w:eastAsia="黑体" w:hint="eastAsia"/>
          <w:spacing w:val="-4"/>
          <w:szCs w:val="32"/>
        </w:rPr>
        <w:t xml:space="preserve">第一章  </w:t>
      </w:r>
      <w:r w:rsidRPr="00FB6078">
        <w:rPr>
          <w:rFonts w:ascii="黑体" w:eastAsia="黑体" w:hint="eastAsia"/>
          <w:spacing w:val="-4"/>
          <w:szCs w:val="32"/>
        </w:rPr>
        <w:t>总则</w:t>
      </w:r>
    </w:p>
    <w:p w:rsidR="00F11A9A" w:rsidRPr="006F0E4C" w:rsidRDefault="00F11A9A" w:rsidP="00365B23">
      <w:pPr>
        <w:spacing w:line="240" w:lineRule="auto"/>
        <w:rPr>
          <w:rFonts w:ascii="黑体" w:eastAsia="黑体"/>
          <w:spacing w:val="-4"/>
          <w:szCs w:val="32"/>
        </w:rPr>
      </w:pP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黑体" w:eastAsia="黑体" w:hAnsi="黑体" w:hint="eastAsia"/>
          <w:spacing w:val="-4"/>
          <w:szCs w:val="32"/>
        </w:rPr>
        <w:t>第一条</w:t>
      </w:r>
      <w:r w:rsidRPr="009D5A13">
        <w:rPr>
          <w:rFonts w:ascii="仿宋_GB2312" w:hAnsi="仿宋" w:hint="eastAsia"/>
          <w:spacing w:val="-4"/>
          <w:szCs w:val="32"/>
        </w:rPr>
        <w:t xml:space="preserve">  为了发展城市绿化事业，保护和改善生态环境，美化生活和工作环境，根据国务院《城市绿化条例》和有关法律、法规的规定，结合本市实际，制定本条例。</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黑体" w:eastAsia="黑体" w:hAnsi="黑体" w:hint="eastAsia"/>
          <w:spacing w:val="-4"/>
          <w:szCs w:val="32"/>
        </w:rPr>
        <w:t>第二条</w:t>
      </w:r>
      <w:r>
        <w:rPr>
          <w:rFonts w:ascii="黑体" w:eastAsia="黑体" w:hAnsi="黑体" w:hint="eastAsia"/>
          <w:spacing w:val="-4"/>
          <w:szCs w:val="32"/>
        </w:rPr>
        <w:t xml:space="preserve">  </w:t>
      </w:r>
      <w:r w:rsidRPr="009D5A13">
        <w:rPr>
          <w:rFonts w:ascii="仿宋_GB2312" w:hAnsi="仿宋" w:hint="eastAsia"/>
          <w:spacing w:val="-4"/>
          <w:szCs w:val="32"/>
        </w:rPr>
        <w:t>本条例适用于本市城市规划区内城市绿化的规划、</w:t>
      </w:r>
      <w:r w:rsidRPr="009D5A13">
        <w:rPr>
          <w:rFonts w:ascii="仿宋_GB2312" w:hAnsi="仿宋" w:hint="eastAsia"/>
          <w:spacing w:val="-4"/>
          <w:szCs w:val="32"/>
        </w:rPr>
        <w:lastRenderedPageBreak/>
        <w:t>建设、保护和管理活动。</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县人民政府所在地镇规划区以及县级人民政府确定的其他镇规划区内绿化的规划、建设、保护和管理活动，按照本条例有关城市规划区的规定执行。</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黑体" w:eastAsia="黑体" w:hAnsi="黑体" w:hint="eastAsia"/>
          <w:spacing w:val="-4"/>
          <w:szCs w:val="32"/>
        </w:rPr>
        <w:t>第三条</w:t>
      </w:r>
      <w:r>
        <w:rPr>
          <w:rFonts w:ascii="黑体" w:eastAsia="黑体" w:hAnsi="黑体" w:hint="eastAsia"/>
          <w:spacing w:val="-4"/>
          <w:szCs w:val="32"/>
        </w:rPr>
        <w:t xml:space="preserve">  </w:t>
      </w:r>
      <w:r w:rsidRPr="009D5A13">
        <w:rPr>
          <w:rFonts w:ascii="仿宋_GB2312" w:hAnsi="仿宋" w:hint="eastAsia"/>
          <w:spacing w:val="-4"/>
          <w:szCs w:val="32"/>
        </w:rPr>
        <w:t>城市绿化应当坚持因地制宜、建管并重的原则，充分利用本地自然和人文条件，合理配置植物类型，提高自然生态效应和景观效果，促进海绵城市发展。</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黑体" w:eastAsia="黑体" w:hAnsi="黑体" w:hint="eastAsia"/>
          <w:spacing w:val="-4"/>
          <w:szCs w:val="32"/>
        </w:rPr>
        <w:t>第四条</w:t>
      </w:r>
      <w:r>
        <w:rPr>
          <w:rFonts w:ascii="黑体" w:eastAsia="黑体" w:hAnsi="黑体" w:hint="eastAsia"/>
          <w:spacing w:val="-4"/>
          <w:szCs w:val="32"/>
        </w:rPr>
        <w:t xml:space="preserve">  </w:t>
      </w:r>
      <w:r w:rsidRPr="009D5A13">
        <w:rPr>
          <w:rFonts w:ascii="仿宋_GB2312" w:hAnsi="仿宋" w:hint="eastAsia"/>
          <w:spacing w:val="-4"/>
          <w:szCs w:val="32"/>
        </w:rPr>
        <w:t>市、县(市、区)人民政府应当将城市绿化事业纳入国民经济和社会发展规划，保障绿化用地，保障公共绿地建设和养护经费的投入，促进城市绿化事业可持续发展。</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黑体" w:eastAsia="黑体" w:hAnsi="黑体" w:hint="eastAsia"/>
          <w:spacing w:val="-4"/>
          <w:szCs w:val="32"/>
        </w:rPr>
        <w:t>第五条</w:t>
      </w:r>
      <w:r>
        <w:rPr>
          <w:rFonts w:ascii="黑体" w:eastAsia="黑体" w:hAnsi="黑体" w:hint="eastAsia"/>
          <w:spacing w:val="-4"/>
          <w:szCs w:val="32"/>
        </w:rPr>
        <w:t xml:space="preserve">  </w:t>
      </w:r>
      <w:r w:rsidRPr="009D5A13">
        <w:rPr>
          <w:rFonts w:ascii="仿宋_GB2312" w:hAnsi="仿宋" w:hint="eastAsia"/>
          <w:spacing w:val="-4"/>
          <w:szCs w:val="32"/>
        </w:rPr>
        <w:t>市、县(市、区)综合行政执法部门是城市绿化行政主管部门，负责本行政区域内城市绿化的保护和管理工作。</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规划、住房城乡建设、发展改革、财政、国土资源、林业、公安、交通运输、水利、环境保护等部门按照各自职责，共同做好城市绿化相关工作。</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县人民政府所在地镇规划区以外的县级人民政府确定的其他镇规划区内绿化工作，由所在地镇人民政府具体负责。</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有关法律、法规规定由林业、交通运输、水利等行政主管部门管理的绿化工作，依照有关法律、法规执行。</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黑体" w:eastAsia="黑体" w:hAnsi="黑体" w:hint="eastAsia"/>
          <w:spacing w:val="-4"/>
          <w:szCs w:val="32"/>
        </w:rPr>
        <w:t>第六条</w:t>
      </w:r>
      <w:r>
        <w:rPr>
          <w:rFonts w:ascii="黑体" w:eastAsia="黑体" w:hAnsi="黑体" w:hint="eastAsia"/>
          <w:spacing w:val="-4"/>
          <w:szCs w:val="32"/>
        </w:rPr>
        <w:t xml:space="preserve">  </w:t>
      </w:r>
      <w:r w:rsidRPr="009D5A13">
        <w:rPr>
          <w:rFonts w:ascii="仿宋_GB2312" w:hAnsi="仿宋" w:hint="eastAsia"/>
          <w:spacing w:val="-4"/>
          <w:szCs w:val="32"/>
        </w:rPr>
        <w:t>城市绿化行政主管部门应当加强城市绿化资源调查、监测和监控，建立城市绿化管理信息系统，定期公布城市绿化建设、保护和管理的相关信息。</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lastRenderedPageBreak/>
        <w:t>鼓励城市绿化的科学研究，加强植物物种保育和引种，推广植物物种病虫害防治等先进技术，推进绿化科技成果转化。</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黑体" w:eastAsia="黑体" w:hAnsi="黑体" w:hint="eastAsia"/>
          <w:spacing w:val="-4"/>
          <w:szCs w:val="32"/>
        </w:rPr>
        <w:t>第七条</w:t>
      </w:r>
      <w:r>
        <w:rPr>
          <w:rFonts w:ascii="黑体" w:eastAsia="黑体" w:hAnsi="黑体" w:hint="eastAsia"/>
          <w:spacing w:val="-4"/>
          <w:szCs w:val="32"/>
        </w:rPr>
        <w:t xml:space="preserve">  </w:t>
      </w:r>
      <w:r w:rsidRPr="009D5A13">
        <w:rPr>
          <w:rFonts w:ascii="仿宋_GB2312" w:hAnsi="仿宋" w:hint="eastAsia"/>
          <w:spacing w:val="-4"/>
          <w:szCs w:val="32"/>
        </w:rPr>
        <w:t>任何单位和个人享有良好城市绿化的权利，履行爱护城市绿化和绿化设施的义务，对破坏城市绿化和绿化设施的行为有权劝阻并向城市绿化行政主管部门投诉、举报。</w:t>
      </w:r>
    </w:p>
    <w:p w:rsidR="006F0E4C" w:rsidRDefault="00F11A9A" w:rsidP="00365B23">
      <w:pPr>
        <w:adjustRightInd w:val="0"/>
        <w:spacing w:line="240" w:lineRule="auto"/>
        <w:ind w:firstLineChars="200" w:firstLine="636"/>
        <w:rPr>
          <w:rFonts w:ascii="仿宋_GB2312" w:hAnsi="仿宋" w:hint="eastAsia"/>
          <w:spacing w:val="-4"/>
          <w:szCs w:val="32"/>
        </w:rPr>
      </w:pPr>
      <w:r w:rsidRPr="009D5A13">
        <w:rPr>
          <w:rFonts w:ascii="仿宋_GB2312" w:hAnsi="仿宋" w:hint="eastAsia"/>
          <w:spacing w:val="-4"/>
          <w:szCs w:val="32"/>
        </w:rPr>
        <w:t>鼓励单位和个人以投资、捐资、认养等方式，参与城市绿化建设和养护工作。捐资、认养的单位和个人可以享有绿地、树木一定期限的冠名权。</w:t>
      </w:r>
    </w:p>
    <w:p w:rsidR="006F0E4C" w:rsidRDefault="006F0E4C" w:rsidP="00365B23">
      <w:pPr>
        <w:adjustRightInd w:val="0"/>
        <w:spacing w:line="240" w:lineRule="auto"/>
        <w:jc w:val="center"/>
        <w:rPr>
          <w:rFonts w:ascii="仿宋_GB2312" w:hAnsi="仿宋" w:hint="eastAsia"/>
          <w:spacing w:val="-4"/>
          <w:szCs w:val="32"/>
        </w:rPr>
      </w:pPr>
    </w:p>
    <w:p w:rsidR="006F0E4C" w:rsidRDefault="00F11A9A" w:rsidP="00365B23">
      <w:pPr>
        <w:adjustRightInd w:val="0"/>
        <w:spacing w:line="240" w:lineRule="auto"/>
        <w:jc w:val="center"/>
        <w:rPr>
          <w:rFonts w:ascii="黑体" w:eastAsia="黑体" w:hint="eastAsia"/>
          <w:spacing w:val="-4"/>
          <w:szCs w:val="32"/>
        </w:rPr>
      </w:pPr>
      <w:r>
        <w:rPr>
          <w:rFonts w:ascii="黑体" w:eastAsia="黑体" w:hint="eastAsia"/>
          <w:spacing w:val="-4"/>
          <w:szCs w:val="32"/>
        </w:rPr>
        <w:t>第二章  规划和建设</w:t>
      </w:r>
    </w:p>
    <w:p w:rsidR="006F0E4C" w:rsidRPr="006F0E4C" w:rsidRDefault="006F0E4C" w:rsidP="00365B23">
      <w:pPr>
        <w:adjustRightInd w:val="0"/>
        <w:spacing w:line="240" w:lineRule="auto"/>
        <w:jc w:val="center"/>
        <w:rPr>
          <w:rFonts w:ascii="黑体" w:eastAsia="黑体" w:hint="eastAsia"/>
          <w:spacing w:val="-4"/>
          <w:szCs w:val="32"/>
        </w:rPr>
      </w:pP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黑体" w:eastAsia="黑体" w:hAnsi="黑体" w:hint="eastAsia"/>
          <w:spacing w:val="-4"/>
          <w:szCs w:val="32"/>
        </w:rPr>
        <w:t>第八条</w:t>
      </w:r>
      <w:r>
        <w:rPr>
          <w:rFonts w:ascii="黑体" w:eastAsia="黑体" w:hAnsi="黑体" w:hint="eastAsia"/>
          <w:spacing w:val="-4"/>
          <w:szCs w:val="32"/>
        </w:rPr>
        <w:t xml:space="preserve">  </w:t>
      </w:r>
      <w:r w:rsidRPr="009D5A13">
        <w:rPr>
          <w:rFonts w:ascii="仿宋_GB2312" w:hAnsi="仿宋" w:hint="eastAsia"/>
          <w:spacing w:val="-4"/>
          <w:szCs w:val="32"/>
        </w:rPr>
        <w:t>市、县（市）人民政府应当组织城乡规划、城市绿化等行政主管部门共同编制城市绿地系统规划，并纳入城市总体规划。</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黑体" w:eastAsia="黑体" w:hAnsi="黑体" w:hint="eastAsia"/>
          <w:spacing w:val="-4"/>
          <w:szCs w:val="32"/>
        </w:rPr>
        <w:t>第九条</w:t>
      </w:r>
      <w:r>
        <w:rPr>
          <w:rFonts w:ascii="黑体" w:eastAsia="黑体" w:hAnsi="黑体" w:hint="eastAsia"/>
          <w:spacing w:val="-4"/>
          <w:szCs w:val="32"/>
        </w:rPr>
        <w:t xml:space="preserve">  </w:t>
      </w:r>
      <w:r w:rsidRPr="009D5A13">
        <w:rPr>
          <w:rFonts w:ascii="仿宋_GB2312" w:hAnsi="仿宋" w:hint="eastAsia"/>
          <w:spacing w:val="-4"/>
          <w:szCs w:val="32"/>
        </w:rPr>
        <w:t>城市总体规划、城市绿地系统规划、城市详细规划应当按照国家有关标准确定各类绿地控制线，并向社会公布，接受社会监督。</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绿地控制</w:t>
      </w:r>
      <w:proofErr w:type="gramStart"/>
      <w:r w:rsidRPr="009D5A13">
        <w:rPr>
          <w:rFonts w:ascii="仿宋_GB2312" w:hAnsi="仿宋" w:hint="eastAsia"/>
          <w:spacing w:val="-4"/>
          <w:szCs w:val="32"/>
        </w:rPr>
        <w:t>线不得</w:t>
      </w:r>
      <w:proofErr w:type="gramEnd"/>
      <w:r w:rsidRPr="009D5A13">
        <w:rPr>
          <w:rFonts w:ascii="仿宋_GB2312" w:hAnsi="仿宋" w:hint="eastAsia"/>
          <w:spacing w:val="-4"/>
          <w:szCs w:val="32"/>
        </w:rPr>
        <w:t>任意调整。因城市建设确需调整绿地控制线的，应当依法报原审批机关批准。</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黑体" w:eastAsia="黑体" w:hAnsi="黑体" w:hint="eastAsia"/>
          <w:spacing w:val="-4"/>
          <w:szCs w:val="32"/>
        </w:rPr>
        <w:t>第十条</w:t>
      </w:r>
      <w:r>
        <w:rPr>
          <w:rFonts w:ascii="黑体" w:eastAsia="黑体" w:hAnsi="黑体" w:hint="eastAsia"/>
          <w:spacing w:val="-4"/>
          <w:szCs w:val="32"/>
        </w:rPr>
        <w:t xml:space="preserve">  </w:t>
      </w:r>
      <w:r w:rsidRPr="009D5A13">
        <w:rPr>
          <w:rFonts w:ascii="仿宋_GB2312" w:hAnsi="仿宋" w:hint="eastAsia"/>
          <w:spacing w:val="-4"/>
          <w:szCs w:val="32"/>
        </w:rPr>
        <w:t>除历史文化风貌区域、安全需要等特殊情况以外，温瑞塘河保护区内一般应当按照下列标准建设公共绿地：</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（一）温瑞塘河骨干河道沿岸每侧不少于三十米；</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lastRenderedPageBreak/>
        <w:t>（二）温瑞塘河重要河道沿岸每侧不少于十米；</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（三）温瑞塘河一般河道沿岸每侧不少于五米。</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其他河道两侧公共绿地建设标准由市、县（市、区）人民政府规定。</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鼓励城市主干道沿线和河道两侧单位实施开放式绿化。</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黑体" w:eastAsia="黑体" w:hAnsi="黑体" w:hint="eastAsia"/>
          <w:spacing w:val="-4"/>
          <w:szCs w:val="32"/>
        </w:rPr>
        <w:t>第十一条</w:t>
      </w:r>
      <w:r>
        <w:rPr>
          <w:rFonts w:ascii="黑体" w:eastAsia="黑体" w:hAnsi="黑体" w:hint="eastAsia"/>
          <w:spacing w:val="-4"/>
          <w:szCs w:val="32"/>
        </w:rPr>
        <w:t xml:space="preserve">  </w:t>
      </w:r>
      <w:r w:rsidRPr="009D5A13">
        <w:rPr>
          <w:rFonts w:ascii="仿宋_GB2312" w:hAnsi="仿宋" w:hint="eastAsia"/>
          <w:spacing w:val="-4"/>
          <w:szCs w:val="32"/>
        </w:rPr>
        <w:t>建设项目的附属绿地面积占建设项目用地总面积的比例，应当按照国家、省有关规定和城乡规划执行。以出让方式提供国有土地使用权的住宅、商业、办公类建设项目，不得降低规划条件确定的绿地率。其他建设项目因客观条件限制未能达到规定标准的，应当经城乡规划行政主管部门会同城市绿化行政主管部门依法审核，由建设单位在建设工程规划许可证核发前，按照所缺的绿地面积向城市绿化行政主管部门缴纳绿化补偿费，用于易地绿化建设。具体办法由市人民政府制定。</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黑体" w:eastAsia="黑体" w:hAnsi="黑体" w:hint="eastAsia"/>
          <w:spacing w:val="-4"/>
          <w:szCs w:val="32"/>
        </w:rPr>
        <w:t>第十二条</w:t>
      </w:r>
      <w:r>
        <w:rPr>
          <w:rFonts w:ascii="黑体" w:eastAsia="黑体" w:hAnsi="黑体" w:hint="eastAsia"/>
          <w:spacing w:val="-4"/>
          <w:szCs w:val="32"/>
        </w:rPr>
        <w:t xml:space="preserve">  </w:t>
      </w:r>
      <w:r w:rsidRPr="009D5A13">
        <w:rPr>
          <w:rFonts w:ascii="仿宋_GB2312" w:hAnsi="仿宋" w:hint="eastAsia"/>
          <w:spacing w:val="-4"/>
          <w:szCs w:val="32"/>
        </w:rPr>
        <w:t>下列公共绿地建设项目，建设单位应当组织专家对绿化设计方案进行论证：</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（一）用地面积二万平方米以上的城市绿化工程；</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（二）城市主干道配套绿化工程；</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 xml:space="preserve">（三）其他重要的城市绿化景观工程。 </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前款规定的公共绿地建成投入使用后，其主要树种和绿化景观不得随意变更；确需变更的，建设单位或者养护管理单位应当组织专家对变更方案进行论证，并向社会公布、征求意见。</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黑体" w:eastAsia="黑体" w:hAnsi="黑体" w:hint="eastAsia"/>
          <w:spacing w:val="-4"/>
          <w:szCs w:val="32"/>
        </w:rPr>
        <w:t>第十三条</w:t>
      </w:r>
      <w:r>
        <w:rPr>
          <w:rFonts w:ascii="黑体" w:eastAsia="黑体" w:hAnsi="黑体" w:hint="eastAsia"/>
          <w:spacing w:val="-4"/>
          <w:szCs w:val="32"/>
        </w:rPr>
        <w:t xml:space="preserve">  </w:t>
      </w:r>
      <w:r w:rsidRPr="009D5A13">
        <w:rPr>
          <w:rFonts w:ascii="仿宋_GB2312" w:hAnsi="仿宋" w:hint="eastAsia"/>
          <w:spacing w:val="-4"/>
          <w:szCs w:val="32"/>
        </w:rPr>
        <w:t>建设项目的附属绿化工程应当按照审定的绿地</w:t>
      </w:r>
      <w:r w:rsidRPr="009D5A13">
        <w:rPr>
          <w:rFonts w:ascii="仿宋_GB2312" w:hAnsi="仿宋" w:hint="eastAsia"/>
          <w:spacing w:val="-4"/>
          <w:szCs w:val="32"/>
        </w:rPr>
        <w:lastRenderedPageBreak/>
        <w:t>指标进行建设，与主体工程同步规划、设计，统一安排施工，同步交付使用。</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黑体" w:eastAsia="黑体" w:hAnsi="黑体" w:hint="eastAsia"/>
          <w:spacing w:val="-4"/>
          <w:szCs w:val="32"/>
        </w:rPr>
        <w:t>第十四条</w:t>
      </w:r>
      <w:r>
        <w:rPr>
          <w:rFonts w:ascii="黑体" w:eastAsia="黑体" w:hAnsi="黑体" w:hint="eastAsia"/>
          <w:spacing w:val="-4"/>
          <w:szCs w:val="32"/>
        </w:rPr>
        <w:t xml:space="preserve">  </w:t>
      </w:r>
      <w:r w:rsidRPr="009D5A13">
        <w:rPr>
          <w:rFonts w:ascii="仿宋_GB2312" w:hAnsi="仿宋" w:hint="eastAsia"/>
          <w:spacing w:val="-4"/>
          <w:szCs w:val="32"/>
        </w:rPr>
        <w:t>公共绿地建设项目竣工验收合格后，建设单位应当在约定的施工养护期届满前三个月内，向养护管理单位办理绿地移交手续。</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建设单位移交的公共绿地，符合绿地养护技术规范且工程资料齐全的，施工养护期届满后，养护管理单位应当予以接收。</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养护管理单位可以与建设单位协商，提前介入公共绿地施工养护期的养护管理，或者提前接收移交。</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黑体" w:eastAsia="黑体" w:hAnsi="黑体" w:hint="eastAsia"/>
          <w:spacing w:val="-4"/>
          <w:szCs w:val="32"/>
        </w:rPr>
        <w:t>第十五条</w:t>
      </w:r>
      <w:r>
        <w:rPr>
          <w:rFonts w:ascii="黑体" w:eastAsia="黑体" w:hAnsi="黑体" w:hint="eastAsia"/>
          <w:spacing w:val="-4"/>
          <w:szCs w:val="32"/>
        </w:rPr>
        <w:t xml:space="preserve">  </w:t>
      </w:r>
      <w:r w:rsidRPr="009D5A13">
        <w:rPr>
          <w:rFonts w:ascii="仿宋_GB2312" w:hAnsi="仿宋" w:hint="eastAsia"/>
          <w:spacing w:val="-4"/>
          <w:szCs w:val="32"/>
        </w:rPr>
        <w:t>城市绿化建设，应当结合本市地理气候特征，选择适宜本市生长的优良植物。</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绿化工程建设，应当按照规定清理绿化用地，土壤质量、覆土厚度应当与种植要求相适应，符合技术规范规定。</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新建、扩建城市道路，应当种植行道树。行道树的种植，应当选择适宜的树种，符合行车视线、行车净空和行人通行的要求。</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新种植行道树或者新建管线、设施的，应当保证树木与管线间的安全距离或者采取有效保护措施。</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居住区内绿化布局，应当综合考虑居住环境与采光、通风、居住安全等要求。</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黑体" w:eastAsia="黑体" w:hAnsi="黑体" w:hint="eastAsia"/>
          <w:spacing w:val="-4"/>
          <w:szCs w:val="32"/>
        </w:rPr>
        <w:t>第十六条</w:t>
      </w:r>
      <w:r>
        <w:rPr>
          <w:rFonts w:ascii="黑体" w:eastAsia="黑体" w:hAnsi="黑体" w:hint="eastAsia"/>
          <w:spacing w:val="-4"/>
          <w:szCs w:val="32"/>
        </w:rPr>
        <w:t xml:space="preserve">  </w:t>
      </w:r>
      <w:r w:rsidRPr="009D5A13">
        <w:rPr>
          <w:rFonts w:ascii="仿宋_GB2312" w:hAnsi="仿宋" w:hint="eastAsia"/>
          <w:spacing w:val="-4"/>
          <w:szCs w:val="32"/>
        </w:rPr>
        <w:t>公共建筑、工业建筑、居住建筑以及其他建筑物、构筑物可以根据适宜性原则，实施屋顶绿化、垂直绿化等多种形式的立体绿化。具体办法由市人民政府按照国家和省有关规定制</w:t>
      </w:r>
      <w:r w:rsidRPr="009D5A13">
        <w:rPr>
          <w:rFonts w:ascii="仿宋_GB2312" w:hAnsi="仿宋" w:hint="eastAsia"/>
          <w:spacing w:val="-4"/>
          <w:szCs w:val="32"/>
        </w:rPr>
        <w:lastRenderedPageBreak/>
        <w:t>定。</w:t>
      </w:r>
    </w:p>
    <w:p w:rsidR="00F11A9A" w:rsidRPr="00C72960" w:rsidRDefault="00F11A9A" w:rsidP="00C72960">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室外公共停车场具备绿化条件的，应当配植庇荫乔木、绿化隔离带、铺设植草地坪，建设林荫停车场。</w:t>
      </w:r>
    </w:p>
    <w:p w:rsidR="00C72960" w:rsidRDefault="00C72960" w:rsidP="00C72960">
      <w:pPr>
        <w:adjustRightInd w:val="0"/>
        <w:spacing w:line="240" w:lineRule="auto"/>
        <w:jc w:val="center"/>
        <w:rPr>
          <w:rFonts w:ascii="黑体" w:eastAsia="黑体" w:hint="eastAsia"/>
          <w:spacing w:val="-4"/>
          <w:szCs w:val="32"/>
        </w:rPr>
      </w:pPr>
    </w:p>
    <w:p w:rsidR="00F11A9A" w:rsidRDefault="00F11A9A" w:rsidP="00C72960">
      <w:pPr>
        <w:adjustRightInd w:val="0"/>
        <w:spacing w:line="240" w:lineRule="auto"/>
        <w:jc w:val="center"/>
        <w:rPr>
          <w:rFonts w:ascii="黑体" w:eastAsia="黑体" w:hint="eastAsia"/>
          <w:spacing w:val="-4"/>
          <w:szCs w:val="32"/>
        </w:rPr>
      </w:pPr>
      <w:r>
        <w:rPr>
          <w:rFonts w:ascii="黑体" w:eastAsia="黑体" w:hint="eastAsia"/>
          <w:spacing w:val="-4"/>
          <w:szCs w:val="32"/>
        </w:rPr>
        <w:t>第三章  保护和管理</w:t>
      </w:r>
    </w:p>
    <w:p w:rsidR="00C72960" w:rsidRPr="00C72960" w:rsidRDefault="00C72960" w:rsidP="00C72960">
      <w:pPr>
        <w:adjustRightInd w:val="0"/>
        <w:spacing w:line="240" w:lineRule="auto"/>
        <w:jc w:val="center"/>
        <w:rPr>
          <w:rFonts w:ascii="黑体" w:eastAsia="黑体"/>
          <w:spacing w:val="-4"/>
          <w:szCs w:val="32"/>
        </w:rPr>
      </w:pPr>
      <w:bookmarkStart w:id="0" w:name="_GoBack"/>
      <w:bookmarkEnd w:id="0"/>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黑体" w:eastAsia="黑体" w:hAnsi="黑体" w:hint="eastAsia"/>
          <w:spacing w:val="-4"/>
          <w:szCs w:val="32"/>
        </w:rPr>
        <w:t>第十七条</w:t>
      </w:r>
      <w:r>
        <w:rPr>
          <w:rFonts w:ascii="黑体" w:eastAsia="黑体" w:hAnsi="黑体" w:hint="eastAsia"/>
          <w:spacing w:val="-4"/>
          <w:szCs w:val="32"/>
        </w:rPr>
        <w:t xml:space="preserve">  </w:t>
      </w:r>
      <w:r w:rsidRPr="009D5A13">
        <w:rPr>
          <w:rFonts w:ascii="仿宋_GB2312" w:hAnsi="仿宋" w:hint="eastAsia"/>
          <w:spacing w:val="-4"/>
          <w:szCs w:val="32"/>
        </w:rPr>
        <w:t>城市绿化养护管理按照下列规定分工负责：</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（一）公共绿地由城市绿化行政主管部门负责，尚未移交的，由建设单位负责；</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（二）单位附属绿地由单位负责；</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（三）居住、商业、办公等区域内绿地由业主负责；</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（四）生产绿地由经营单位负责；</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（五）建设工程范围内保留的树木，在建设期间由建设单位负责；</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（六）其他绿地由市、县(市、区)人民政府确定的养护管理单位负责。</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黑体" w:eastAsia="黑体" w:hAnsi="黑体" w:hint="eastAsia"/>
          <w:spacing w:val="-4"/>
          <w:szCs w:val="32"/>
        </w:rPr>
        <w:t>第十八条</w:t>
      </w:r>
      <w:r>
        <w:rPr>
          <w:rFonts w:ascii="黑体" w:eastAsia="黑体" w:hAnsi="黑体" w:hint="eastAsia"/>
          <w:spacing w:val="-4"/>
          <w:szCs w:val="32"/>
        </w:rPr>
        <w:t xml:space="preserve">  </w:t>
      </w:r>
      <w:r w:rsidRPr="009D5A13">
        <w:rPr>
          <w:rFonts w:ascii="仿宋_GB2312" w:hAnsi="仿宋" w:hint="eastAsia"/>
          <w:spacing w:val="-4"/>
          <w:szCs w:val="32"/>
        </w:rPr>
        <w:t>养护管理责任人应当按照城市绿化养护管理技术规范，做好花草树木和绿化设施的养护管理。</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绿化树木受损、死亡、缺株或者设施损坏的，应当及时补植、修复或者采取其他补救措施。</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黑体" w:eastAsia="黑体" w:hAnsi="黑体" w:hint="eastAsia"/>
          <w:spacing w:val="-4"/>
          <w:szCs w:val="32"/>
        </w:rPr>
        <w:t>第十九条</w:t>
      </w:r>
      <w:r>
        <w:rPr>
          <w:rFonts w:ascii="黑体" w:eastAsia="黑体" w:hAnsi="黑体" w:hint="eastAsia"/>
          <w:spacing w:val="-4"/>
          <w:szCs w:val="32"/>
        </w:rPr>
        <w:t xml:space="preserve">  </w:t>
      </w:r>
      <w:r w:rsidRPr="009D5A13">
        <w:rPr>
          <w:rFonts w:ascii="仿宋_GB2312" w:hAnsi="仿宋" w:hint="eastAsia"/>
          <w:spacing w:val="-4"/>
          <w:szCs w:val="32"/>
        </w:rPr>
        <w:t>任何单位和个人不得擅自占用城市绿地。因建设或者其他特殊原因需要临时占用的，应当向城市绿化行政主管部</w:t>
      </w:r>
      <w:r w:rsidRPr="009D5A13">
        <w:rPr>
          <w:rFonts w:ascii="仿宋_GB2312" w:hAnsi="仿宋" w:hint="eastAsia"/>
          <w:spacing w:val="-4"/>
          <w:szCs w:val="32"/>
        </w:rPr>
        <w:lastRenderedPageBreak/>
        <w:t>门提出申请，并提交拟占用的绿地现状、占用原因、权属人意见、恢复方案等材料。临时占用公共绿地的，应当按照规定缴纳绿化补偿费。</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临时占用期限不得超过一年，确需延期的，应当在期限届满七日前向原审批部门申请延期。</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经批准临时占用城市绿地的，应当按照批准的位置、面积和期限占用，并在现场设立告示牌，向社会公示。占用期满后，应当及时清理现场，恢复原状。</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黑体" w:eastAsia="黑体" w:hAnsi="黑体" w:hint="eastAsia"/>
          <w:spacing w:val="-4"/>
          <w:szCs w:val="32"/>
        </w:rPr>
        <w:t>第二十条</w:t>
      </w:r>
      <w:r>
        <w:rPr>
          <w:rFonts w:ascii="黑体" w:eastAsia="黑体" w:hAnsi="黑体" w:hint="eastAsia"/>
          <w:spacing w:val="-4"/>
          <w:szCs w:val="32"/>
        </w:rPr>
        <w:t xml:space="preserve">  </w:t>
      </w:r>
      <w:r w:rsidRPr="009D5A13">
        <w:rPr>
          <w:rFonts w:ascii="仿宋_GB2312" w:hAnsi="仿宋" w:hint="eastAsia"/>
          <w:spacing w:val="-4"/>
          <w:szCs w:val="32"/>
        </w:rPr>
        <w:t>禁止擅自砍伐城市树木。因下列原因确需砍伐的，应当向城市绿化行政主管部门提出申请：</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（一）严重影响居民采光、通风和居住安全，且树木无迁移价值的；</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（二）对人身安全或者其他设施构成威胁，且树木无迁移价值的；</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（三）发生检疫性病虫害确实无法治理的；</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（四）因树木生长抚育或者工程建设需要，且树木无迁移价值的；</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（五）树木已经死亡的。</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申请砍伐树木，应当提交拟砍伐树木的品种、数量、规格、位置和权属人意见等材料。</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发生自然灾害或者突发性事件，致使树木危及管线、交通设施及人身、财产安全时，管线或者交通设施管理单位可以先行砍</w:t>
      </w:r>
      <w:r w:rsidRPr="009D5A13">
        <w:rPr>
          <w:rFonts w:ascii="仿宋_GB2312" w:hAnsi="仿宋" w:hint="eastAsia"/>
          <w:spacing w:val="-4"/>
          <w:szCs w:val="32"/>
        </w:rPr>
        <w:lastRenderedPageBreak/>
        <w:t>伐树木，但应在自然灾害或者突发性事件结束后四十八小时内告知城市绿化行政主管部门和养护管理责任人。</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黑体" w:eastAsia="黑体" w:hAnsi="黑体" w:hint="eastAsia"/>
          <w:spacing w:val="-4"/>
          <w:szCs w:val="32"/>
        </w:rPr>
        <w:t>第二十一条</w:t>
      </w:r>
      <w:r>
        <w:rPr>
          <w:rFonts w:ascii="黑体" w:eastAsia="黑体" w:hAnsi="黑体" w:hint="eastAsia"/>
          <w:spacing w:val="-4"/>
          <w:szCs w:val="32"/>
        </w:rPr>
        <w:t xml:space="preserve">  </w:t>
      </w:r>
      <w:r w:rsidRPr="009D5A13">
        <w:rPr>
          <w:rFonts w:ascii="仿宋_GB2312" w:hAnsi="仿宋" w:hint="eastAsia"/>
          <w:spacing w:val="-4"/>
          <w:szCs w:val="32"/>
        </w:rPr>
        <w:t>养护管理责任人应当根据树木生长情况，按照有关树木修剪技术规范和标准要求，定期对树木进行修剪。</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因树木生长影响管线、交通设施安全的，管线或者交通设施管理单位可以按照兼顾设施安全使用和树木正常生长的原则组织修剪。</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居住区内的树木生长影响居民采光、通风和居住安全，居民提出修剪请求的，养护管理责任人应当按照有关规定及时组织修剪。</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黑体" w:eastAsia="黑体" w:hAnsi="黑体" w:hint="eastAsia"/>
          <w:spacing w:val="-4"/>
          <w:szCs w:val="32"/>
        </w:rPr>
        <w:t>第二十二条</w:t>
      </w:r>
      <w:r>
        <w:rPr>
          <w:rFonts w:ascii="黑体" w:eastAsia="黑体" w:hAnsi="黑体" w:hint="eastAsia"/>
          <w:spacing w:val="-4"/>
          <w:szCs w:val="32"/>
        </w:rPr>
        <w:t xml:space="preserve">  </w:t>
      </w:r>
      <w:r w:rsidRPr="009D5A13">
        <w:rPr>
          <w:rFonts w:ascii="仿宋_GB2312" w:hAnsi="仿宋" w:hint="eastAsia"/>
          <w:spacing w:val="-4"/>
          <w:szCs w:val="32"/>
        </w:rPr>
        <w:t>禁止下列损坏城市绿化和绿化设施的行为：</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（一）依树搭棚、架设天线，钉、拴树木，剥刮树皮，损害根系；</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（二）以水泥、沥青等硬化树穴，向树</w:t>
      </w:r>
      <w:proofErr w:type="gramStart"/>
      <w:r w:rsidRPr="009D5A13">
        <w:rPr>
          <w:rFonts w:ascii="仿宋_GB2312" w:hAnsi="仿宋" w:hint="eastAsia"/>
          <w:spacing w:val="-4"/>
          <w:szCs w:val="32"/>
        </w:rPr>
        <w:t>穴</w:t>
      </w:r>
      <w:proofErr w:type="gramEnd"/>
      <w:r w:rsidRPr="009D5A13">
        <w:rPr>
          <w:rFonts w:ascii="仿宋_GB2312" w:hAnsi="仿宋" w:hint="eastAsia"/>
          <w:spacing w:val="-4"/>
          <w:szCs w:val="32"/>
        </w:rPr>
        <w:t>倾倒热水、有害物质；</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（三）在绿地内挖坑取土、堆物、停车、放牧、动用明火、开垦种植、倾倒废弃物；</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 xml:space="preserve">（四）进入或者踩踏设有明示禁止标志的绿地； </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（五）在公园绿地内洗涤；</w:t>
      </w:r>
    </w:p>
    <w:p w:rsidR="00F11A9A"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（六）其他损坏城市绿化和绿化设施的行为。</w:t>
      </w:r>
    </w:p>
    <w:p w:rsidR="00F11A9A" w:rsidRPr="009D5A13" w:rsidRDefault="00F11A9A" w:rsidP="00365B23">
      <w:pPr>
        <w:adjustRightInd w:val="0"/>
        <w:spacing w:line="240" w:lineRule="auto"/>
        <w:ind w:firstLineChars="200" w:firstLine="636"/>
        <w:rPr>
          <w:rFonts w:ascii="仿宋_GB2312" w:hAnsi="仿宋"/>
          <w:spacing w:val="-4"/>
          <w:szCs w:val="32"/>
        </w:rPr>
      </w:pPr>
    </w:p>
    <w:p w:rsidR="00F11A9A" w:rsidRPr="00FB6078" w:rsidRDefault="00F11A9A" w:rsidP="00365B23">
      <w:pPr>
        <w:adjustRightInd w:val="0"/>
        <w:spacing w:line="240" w:lineRule="auto"/>
        <w:jc w:val="center"/>
        <w:rPr>
          <w:rFonts w:ascii="黑体" w:eastAsia="黑体"/>
          <w:spacing w:val="-4"/>
          <w:szCs w:val="32"/>
        </w:rPr>
      </w:pPr>
      <w:r>
        <w:rPr>
          <w:rFonts w:ascii="黑体" w:eastAsia="黑体" w:hint="eastAsia"/>
          <w:spacing w:val="-4"/>
          <w:szCs w:val="32"/>
        </w:rPr>
        <w:t>第四章  法律责任</w:t>
      </w:r>
    </w:p>
    <w:p w:rsidR="00F11A9A" w:rsidRPr="009D5A13" w:rsidRDefault="00F11A9A" w:rsidP="00365B23">
      <w:pPr>
        <w:adjustRightInd w:val="0"/>
        <w:spacing w:line="240" w:lineRule="auto"/>
        <w:rPr>
          <w:rFonts w:ascii="黑体" w:eastAsia="黑体"/>
          <w:spacing w:val="-4"/>
          <w:szCs w:val="32"/>
        </w:rPr>
      </w:pP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黑体" w:eastAsia="黑体" w:hAnsi="黑体" w:hint="eastAsia"/>
          <w:spacing w:val="-4"/>
          <w:szCs w:val="32"/>
        </w:rPr>
        <w:t>第二十三条</w:t>
      </w:r>
      <w:r>
        <w:rPr>
          <w:rFonts w:ascii="黑体" w:eastAsia="黑体" w:hAnsi="黑体" w:hint="eastAsia"/>
          <w:spacing w:val="-4"/>
          <w:szCs w:val="32"/>
        </w:rPr>
        <w:t xml:space="preserve">  </w:t>
      </w:r>
      <w:r w:rsidRPr="009D5A13">
        <w:rPr>
          <w:rFonts w:ascii="仿宋_GB2312" w:hAnsi="仿宋" w:hint="eastAsia"/>
          <w:spacing w:val="-4"/>
          <w:szCs w:val="32"/>
        </w:rPr>
        <w:t>违反本条例规定的行为，法律、行政法规和省的地方性法规已有法律责任规定的，从其规定。</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黑体" w:eastAsia="黑体" w:hAnsi="黑体" w:hint="eastAsia"/>
          <w:spacing w:val="-4"/>
          <w:szCs w:val="32"/>
        </w:rPr>
        <w:t>第二十四条</w:t>
      </w:r>
      <w:r>
        <w:rPr>
          <w:rFonts w:ascii="黑体" w:eastAsia="黑体" w:hAnsi="黑体" w:hint="eastAsia"/>
          <w:spacing w:val="-4"/>
          <w:szCs w:val="32"/>
        </w:rPr>
        <w:t xml:space="preserve">  </w:t>
      </w:r>
      <w:r w:rsidRPr="009D5A13">
        <w:rPr>
          <w:rFonts w:ascii="仿宋_GB2312" w:hAnsi="仿宋" w:hint="eastAsia"/>
          <w:spacing w:val="-4"/>
          <w:szCs w:val="32"/>
        </w:rPr>
        <w:t>违反本条例第十八条规定，养护管理责任人未履行养护管理责任的，由城市绿化行政主管部门责令限期改正；逾期不改正的，处五百元以上五千元以下罚款。</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责任人为城市绿化行政主管部门或者市、县(市、区)人民政府确定的街道办事处、镇人民政府的，由所在单位或者上级主管部门责令限期改正；逾期不改正的，对直接负责的主管人员和其他直接责任人员给</w:t>
      </w:r>
      <w:proofErr w:type="gramStart"/>
      <w:r w:rsidRPr="009D5A13">
        <w:rPr>
          <w:rFonts w:ascii="仿宋_GB2312" w:hAnsi="仿宋" w:hint="eastAsia"/>
          <w:spacing w:val="-4"/>
          <w:szCs w:val="32"/>
        </w:rPr>
        <w:t>予处理</w:t>
      </w:r>
      <w:proofErr w:type="gramEnd"/>
      <w:r w:rsidRPr="009D5A13">
        <w:rPr>
          <w:rFonts w:ascii="仿宋_GB2312" w:hAnsi="仿宋" w:hint="eastAsia"/>
          <w:spacing w:val="-4"/>
          <w:szCs w:val="32"/>
        </w:rPr>
        <w:t>。</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黑体" w:eastAsia="黑体" w:hAnsi="黑体" w:hint="eastAsia"/>
          <w:spacing w:val="-4"/>
          <w:szCs w:val="32"/>
        </w:rPr>
        <w:t>第二十五条</w:t>
      </w:r>
      <w:r>
        <w:rPr>
          <w:rFonts w:ascii="黑体" w:eastAsia="黑体" w:hAnsi="黑体" w:hint="eastAsia"/>
          <w:spacing w:val="-4"/>
          <w:szCs w:val="32"/>
        </w:rPr>
        <w:t xml:space="preserve">  </w:t>
      </w:r>
      <w:r w:rsidRPr="009D5A13">
        <w:rPr>
          <w:rFonts w:ascii="仿宋_GB2312" w:hAnsi="仿宋" w:hint="eastAsia"/>
          <w:spacing w:val="-4"/>
          <w:szCs w:val="32"/>
        </w:rPr>
        <w:t>违反本条例第十九条第一款规定，未经批准占用城市绿地的，由城市绿化行政主管部门责令改正，可以处所占用绿地面积每平方米五百元以上二千元以下罚款；造成损失的，依法承担赔偿责任。</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违反本条例第十九条第三款规定，不按照批准的位置、面积和期限占用城市绿地的，由城市绿化行政主管部门责令改正，可以处所占用绿地面积每平方米每日五十元以上二百元以下罚款。临时占用期满后未及时清理现场的，由城市绿化行政主管部门责令改正，可以处一千元以上一万元以下罚款。造成损失的，依法承担赔偿责任。</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黑体" w:eastAsia="黑体" w:hAnsi="黑体" w:hint="eastAsia"/>
          <w:spacing w:val="-4"/>
          <w:szCs w:val="32"/>
        </w:rPr>
        <w:t>第二十六条</w:t>
      </w:r>
      <w:r>
        <w:rPr>
          <w:rFonts w:ascii="黑体" w:eastAsia="黑体" w:hAnsi="黑体" w:hint="eastAsia"/>
          <w:spacing w:val="-4"/>
          <w:szCs w:val="32"/>
        </w:rPr>
        <w:t xml:space="preserve">  </w:t>
      </w:r>
      <w:r w:rsidRPr="009D5A13">
        <w:rPr>
          <w:rFonts w:ascii="仿宋_GB2312" w:hAnsi="仿宋" w:hint="eastAsia"/>
          <w:spacing w:val="-4"/>
          <w:szCs w:val="32"/>
        </w:rPr>
        <w:t>违反本条例第二十条第一款规定，擅自砍伐树木的，由城市绿化行政主管部门责令改正，可以处树木价值一倍</w:t>
      </w:r>
      <w:r w:rsidRPr="009D5A13">
        <w:rPr>
          <w:rFonts w:ascii="仿宋_GB2312" w:hAnsi="仿宋" w:hint="eastAsia"/>
          <w:spacing w:val="-4"/>
          <w:szCs w:val="32"/>
        </w:rPr>
        <w:lastRenderedPageBreak/>
        <w:t>以上五倍以下罚款；造成损失的，依法承担赔偿责任。</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树木价值的计算标准，由市城市绿化行政主管部门根据树种、树龄、规格、生长状况、养护管理实际投入等因素制定。</w:t>
      </w:r>
    </w:p>
    <w:p w:rsidR="00F11A9A" w:rsidRPr="009D5A13" w:rsidRDefault="00F11A9A" w:rsidP="00365B23">
      <w:pPr>
        <w:adjustRightInd w:val="0"/>
        <w:spacing w:line="240" w:lineRule="auto"/>
        <w:ind w:firstLineChars="200" w:firstLine="636"/>
        <w:rPr>
          <w:rFonts w:ascii="黑体" w:eastAsia="黑体" w:hAnsi="黑体"/>
          <w:spacing w:val="-4"/>
          <w:szCs w:val="32"/>
        </w:rPr>
      </w:pPr>
      <w:r w:rsidRPr="009D5A13">
        <w:rPr>
          <w:rFonts w:ascii="黑体" w:eastAsia="黑体" w:hAnsi="黑体" w:hint="eastAsia"/>
          <w:spacing w:val="-4"/>
          <w:szCs w:val="32"/>
        </w:rPr>
        <w:t>第二十七条</w:t>
      </w:r>
      <w:r>
        <w:rPr>
          <w:rFonts w:ascii="黑体" w:eastAsia="黑体" w:hAnsi="黑体" w:hint="eastAsia"/>
          <w:spacing w:val="-4"/>
          <w:szCs w:val="32"/>
        </w:rPr>
        <w:t xml:space="preserve">  </w:t>
      </w:r>
      <w:r w:rsidRPr="009D5A13">
        <w:rPr>
          <w:rFonts w:ascii="仿宋_GB2312" w:hAnsi="仿宋" w:hint="eastAsia"/>
          <w:spacing w:val="-4"/>
          <w:szCs w:val="32"/>
        </w:rPr>
        <w:t>违反本条例第二十二条规定，损坏城市绿化及其设施的，由城市绿化行政主管部门责令改正，可以处一百元以上一千元以下罚款；情节严重的，处一千元以上五千元以下罚款；造成损失的，依法承担赔偿责任。</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黑体" w:eastAsia="黑体" w:hAnsi="黑体" w:hint="eastAsia"/>
          <w:spacing w:val="-4"/>
          <w:szCs w:val="32"/>
        </w:rPr>
        <w:t>第二十八条</w:t>
      </w:r>
      <w:r>
        <w:rPr>
          <w:rFonts w:ascii="黑体" w:eastAsia="黑体" w:hAnsi="黑体" w:hint="eastAsia"/>
          <w:spacing w:val="-4"/>
          <w:szCs w:val="32"/>
        </w:rPr>
        <w:t xml:space="preserve">  </w:t>
      </w:r>
      <w:r w:rsidRPr="009D5A13">
        <w:rPr>
          <w:rFonts w:ascii="仿宋_GB2312" w:hAnsi="仿宋" w:hint="eastAsia"/>
          <w:spacing w:val="-4"/>
          <w:szCs w:val="32"/>
        </w:rPr>
        <w:t xml:space="preserve">城市绿化管理有关部门及其工作人员违反本条例规定，有下列情形之一的，由有权机关责令改正；情节严重的，对直接负责的主管人员和其他直接责任人员依法给予处分： </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（一）未按照规定对有关城市绿化事项进行审核、审批的；</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（二）未按照规定接收移交的公共绿地的；</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（三）对依法应当受理的投诉和举报不受理，或者不依法处理的；</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（四）对依法应当予以制止或者处罚的违法行为不予制止、处罚，或者不依法处理的；</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（五）包庇、纵容违法行为人的；</w:t>
      </w: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仿宋_GB2312" w:hAnsi="仿宋" w:hint="eastAsia"/>
          <w:spacing w:val="-4"/>
          <w:szCs w:val="32"/>
        </w:rPr>
        <w:t>（六）有其他玩忽职守、滥用职权或者徇私舞弊行为的。</w:t>
      </w:r>
    </w:p>
    <w:p w:rsidR="00F11A9A" w:rsidRPr="009D5A13" w:rsidRDefault="00F11A9A" w:rsidP="00365B23">
      <w:pPr>
        <w:adjustRightInd w:val="0"/>
        <w:spacing w:line="240" w:lineRule="auto"/>
        <w:ind w:firstLineChars="200" w:firstLine="636"/>
        <w:rPr>
          <w:rFonts w:ascii="仿宋_GB2312" w:hAnsi="仿宋"/>
          <w:spacing w:val="-4"/>
          <w:szCs w:val="32"/>
        </w:rPr>
      </w:pPr>
    </w:p>
    <w:p w:rsidR="00F11A9A" w:rsidRPr="00FB6078" w:rsidRDefault="00F11A9A" w:rsidP="00365B23">
      <w:pPr>
        <w:adjustRightInd w:val="0"/>
        <w:spacing w:line="240" w:lineRule="auto"/>
        <w:jc w:val="center"/>
        <w:rPr>
          <w:rFonts w:ascii="黑体" w:eastAsia="黑体"/>
          <w:spacing w:val="-4"/>
          <w:szCs w:val="32"/>
        </w:rPr>
      </w:pPr>
      <w:r>
        <w:rPr>
          <w:rFonts w:ascii="黑体" w:eastAsia="黑体" w:hint="eastAsia"/>
          <w:spacing w:val="-4"/>
          <w:szCs w:val="32"/>
        </w:rPr>
        <w:t>第五章  附则</w:t>
      </w:r>
    </w:p>
    <w:p w:rsidR="00F11A9A" w:rsidRPr="009D5A13" w:rsidRDefault="00F11A9A" w:rsidP="00365B23">
      <w:pPr>
        <w:adjustRightInd w:val="0"/>
        <w:spacing w:line="240" w:lineRule="auto"/>
        <w:rPr>
          <w:rFonts w:ascii="黑体" w:eastAsia="黑体"/>
          <w:spacing w:val="-4"/>
          <w:szCs w:val="32"/>
        </w:rPr>
      </w:pPr>
    </w:p>
    <w:p w:rsidR="00F11A9A" w:rsidRPr="009D5A13" w:rsidRDefault="00F11A9A" w:rsidP="00365B23">
      <w:pPr>
        <w:adjustRightInd w:val="0"/>
        <w:spacing w:line="240" w:lineRule="auto"/>
        <w:ind w:firstLineChars="200" w:firstLine="636"/>
        <w:rPr>
          <w:rFonts w:ascii="仿宋_GB2312" w:hAnsi="仿宋"/>
          <w:spacing w:val="-4"/>
          <w:szCs w:val="32"/>
        </w:rPr>
      </w:pPr>
      <w:r w:rsidRPr="009D5A13">
        <w:rPr>
          <w:rFonts w:ascii="黑体" w:eastAsia="黑体" w:hAnsi="黑体" w:hint="eastAsia"/>
          <w:spacing w:val="-4"/>
          <w:szCs w:val="32"/>
        </w:rPr>
        <w:t>第二十九条</w:t>
      </w:r>
      <w:r>
        <w:rPr>
          <w:rFonts w:ascii="黑体" w:eastAsia="黑体" w:hAnsi="黑体" w:hint="eastAsia"/>
          <w:spacing w:val="-4"/>
          <w:szCs w:val="32"/>
        </w:rPr>
        <w:t xml:space="preserve">  </w:t>
      </w:r>
      <w:r w:rsidRPr="009D5A13">
        <w:rPr>
          <w:rFonts w:ascii="仿宋_GB2312" w:hAnsi="仿宋" w:hint="eastAsia"/>
          <w:spacing w:val="-4"/>
          <w:szCs w:val="32"/>
        </w:rPr>
        <w:t>本条例所称公共绿地，是指向公众开放的各类</w:t>
      </w:r>
      <w:r w:rsidRPr="009D5A13">
        <w:rPr>
          <w:rFonts w:ascii="仿宋_GB2312" w:hAnsi="仿宋" w:hint="eastAsia"/>
          <w:spacing w:val="-4"/>
          <w:szCs w:val="32"/>
        </w:rPr>
        <w:lastRenderedPageBreak/>
        <w:t>公益性公园绿地、街旁绿地、道路绿地、广场绿地、河道绿地等。</w:t>
      </w:r>
    </w:p>
    <w:p w:rsidR="00F11A9A" w:rsidRDefault="00F11A9A" w:rsidP="00365B23">
      <w:pPr>
        <w:adjustRightInd w:val="0"/>
        <w:spacing w:line="240" w:lineRule="auto"/>
        <w:ind w:firstLineChars="200" w:firstLine="636"/>
        <w:rPr>
          <w:rFonts w:ascii="仿宋_GB2312" w:hAnsi="仿宋"/>
          <w:spacing w:val="-4"/>
          <w:szCs w:val="32"/>
        </w:rPr>
      </w:pPr>
      <w:r w:rsidRPr="009D5A13">
        <w:rPr>
          <w:rFonts w:ascii="黑体" w:eastAsia="黑体" w:hAnsi="黑体" w:hint="eastAsia"/>
          <w:spacing w:val="-4"/>
          <w:szCs w:val="32"/>
        </w:rPr>
        <w:t>第三十条</w:t>
      </w:r>
      <w:r>
        <w:rPr>
          <w:rFonts w:ascii="黑体" w:eastAsia="黑体" w:hAnsi="黑体" w:hint="eastAsia"/>
          <w:spacing w:val="-4"/>
          <w:szCs w:val="32"/>
        </w:rPr>
        <w:t xml:space="preserve">  </w:t>
      </w:r>
      <w:r w:rsidRPr="009D5A13">
        <w:rPr>
          <w:rFonts w:ascii="仿宋_GB2312" w:hAnsi="仿宋" w:hint="eastAsia"/>
          <w:spacing w:val="-4"/>
          <w:szCs w:val="32"/>
        </w:rPr>
        <w:t>本条例自2018年3月1日起施行。</w:t>
      </w:r>
    </w:p>
    <w:p w:rsidR="00D57722" w:rsidRPr="00F11A9A" w:rsidRDefault="00D57722" w:rsidP="00365B23">
      <w:pPr>
        <w:spacing w:line="240" w:lineRule="auto"/>
      </w:pPr>
    </w:p>
    <w:sectPr w:rsidR="00D57722" w:rsidRPr="00F11A9A"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CBD" w:rsidRDefault="00141CBD" w:rsidP="00D57722">
      <w:pPr>
        <w:spacing w:line="240" w:lineRule="auto"/>
      </w:pPr>
      <w:r>
        <w:separator/>
      </w:r>
    </w:p>
  </w:endnote>
  <w:endnote w:type="continuationSeparator" w:id="0">
    <w:p w:rsidR="00141CBD" w:rsidRDefault="00141CB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C72960">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C72960" w:rsidRPr="00C72960">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CBD" w:rsidRDefault="00141CBD" w:rsidP="00D57722">
      <w:pPr>
        <w:spacing w:line="240" w:lineRule="auto"/>
      </w:pPr>
      <w:r>
        <w:separator/>
      </w:r>
    </w:p>
  </w:footnote>
  <w:footnote w:type="continuationSeparator" w:id="0">
    <w:p w:rsidR="00141CBD" w:rsidRDefault="00141CB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8228FC3"/>
    <w:multiLevelType w:val="singleLevel"/>
    <w:tmpl w:val="58228FC3"/>
    <w:lvl w:ilvl="0">
      <w:start w:val="2"/>
      <w:numFmt w:val="chineseCounting"/>
      <w:suff w:val="space"/>
      <w:lvlText w:val="第%1章"/>
      <w:lvlJc w:val="left"/>
      <w:rPr>
        <w:rFonts w:cs="Times New Roman"/>
      </w:rPr>
    </w:lvl>
  </w:abstractNum>
  <w:abstractNum w:abstractNumId="2">
    <w:nsid w:val="58246532"/>
    <w:multiLevelType w:val="singleLevel"/>
    <w:tmpl w:val="58246532"/>
    <w:lvl w:ilvl="0">
      <w:start w:val="5"/>
      <w:numFmt w:val="chineseCounting"/>
      <w:suff w:val="space"/>
      <w:lvlText w:val="第%1章"/>
      <w:lvlJc w:val="left"/>
      <w:rPr>
        <w:rFonts w:cs="Times New Roman"/>
      </w:rPr>
    </w:lvl>
  </w:abstractNum>
  <w:abstractNum w:abstractNumId="3">
    <w:nsid w:val="58F48828"/>
    <w:multiLevelType w:val="singleLevel"/>
    <w:tmpl w:val="58F48828"/>
    <w:lvl w:ilvl="0">
      <w:start w:val="1"/>
      <w:numFmt w:val="chineseCounting"/>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206BB"/>
    <w:rsid w:val="00071F92"/>
    <w:rsid w:val="00094A7F"/>
    <w:rsid w:val="000960D6"/>
    <w:rsid w:val="000C3B10"/>
    <w:rsid w:val="000F3DA2"/>
    <w:rsid w:val="00141CBD"/>
    <w:rsid w:val="001B173E"/>
    <w:rsid w:val="00251C01"/>
    <w:rsid w:val="002B347B"/>
    <w:rsid w:val="002B405F"/>
    <w:rsid w:val="00350EF5"/>
    <w:rsid w:val="00365B23"/>
    <w:rsid w:val="00372A49"/>
    <w:rsid w:val="003B66C1"/>
    <w:rsid w:val="004C53E0"/>
    <w:rsid w:val="00562EFE"/>
    <w:rsid w:val="005D3E8F"/>
    <w:rsid w:val="006F0E4C"/>
    <w:rsid w:val="00736E4E"/>
    <w:rsid w:val="007829E7"/>
    <w:rsid w:val="0079390B"/>
    <w:rsid w:val="007E7972"/>
    <w:rsid w:val="00821AE1"/>
    <w:rsid w:val="008F2BA1"/>
    <w:rsid w:val="00967225"/>
    <w:rsid w:val="009E1612"/>
    <w:rsid w:val="009F2D8E"/>
    <w:rsid w:val="009F5E58"/>
    <w:rsid w:val="00A0528C"/>
    <w:rsid w:val="00A0649E"/>
    <w:rsid w:val="00AB459A"/>
    <w:rsid w:val="00B3448D"/>
    <w:rsid w:val="00B9350E"/>
    <w:rsid w:val="00C26BE1"/>
    <w:rsid w:val="00C72960"/>
    <w:rsid w:val="00CC6563"/>
    <w:rsid w:val="00D01AB1"/>
    <w:rsid w:val="00D57722"/>
    <w:rsid w:val="00D93A6F"/>
    <w:rsid w:val="00E560D4"/>
    <w:rsid w:val="00F11A9A"/>
    <w:rsid w:val="00F1499C"/>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 w:type="paragraph" w:styleId="ab">
    <w:name w:val="List Paragraph"/>
    <w:basedOn w:val="a0"/>
    <w:uiPriority w:val="34"/>
    <w:qFormat/>
    <w:rsid w:val="00F11A9A"/>
    <w:pPr>
      <w:spacing w:line="240" w:lineRule="auto"/>
      <w:ind w:firstLineChars="200" w:firstLine="420"/>
    </w:pPr>
    <w:rPr>
      <w:rFonts w:asciiTheme="minorHAnsi" w:eastAsiaTheme="minorEastAsia" w:hAnsiTheme="minorHAnsi" w:cstheme="minorBidi"/>
      <w:spacing w:val="0"/>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989437">
      <w:bodyDiv w:val="1"/>
      <w:marLeft w:val="0"/>
      <w:marRight w:val="0"/>
      <w:marTop w:val="0"/>
      <w:marBottom w:val="0"/>
      <w:divBdr>
        <w:top w:val="none" w:sz="0" w:space="0" w:color="auto"/>
        <w:left w:val="none" w:sz="0" w:space="0" w:color="auto"/>
        <w:bottom w:val="none" w:sz="0" w:space="0" w:color="auto"/>
        <w:right w:val="none" w:sz="0" w:space="0" w:color="auto"/>
      </w:divBdr>
    </w:div>
    <w:div w:id="753477942">
      <w:bodyDiv w:val="1"/>
      <w:marLeft w:val="0"/>
      <w:marRight w:val="0"/>
      <w:marTop w:val="0"/>
      <w:marBottom w:val="0"/>
      <w:divBdr>
        <w:top w:val="none" w:sz="0" w:space="0" w:color="auto"/>
        <w:left w:val="none" w:sz="0" w:space="0" w:color="auto"/>
        <w:bottom w:val="none" w:sz="0" w:space="0" w:color="auto"/>
        <w:right w:val="none" w:sz="0" w:space="0" w:color="auto"/>
      </w:divBdr>
    </w:div>
    <w:div w:id="1679578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42</TotalTime>
  <Pages>11</Pages>
  <Words>674</Words>
  <Characters>3843</Characters>
  <Application>Microsoft Office Word</Application>
  <DocSecurity>0</DocSecurity>
  <Lines>32</Lines>
  <Paragraphs>9</Paragraphs>
  <ScaleCrop>false</ScaleCrop>
  <Company>Microsoft</Company>
  <LinksUpToDate>false</LinksUpToDate>
  <CharactersWithSpaces>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29</cp:revision>
  <dcterms:created xsi:type="dcterms:W3CDTF">2017-01-11T09:18:00Z</dcterms:created>
  <dcterms:modified xsi:type="dcterms:W3CDTF">2018-01-15T06:55:00Z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