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b w:val="0"/>
          <w:bCs w:val="0"/>
          <w:color w:val="000000" w:themeColor="text1"/>
          <w:kern w:val="0"/>
          <w:szCs w:val="32"/>
          <w14:textFill>
            <w14:solidFill>
              <w14:schemeClr w14:val="tx1"/>
            </w14:solidFill>
          </w14:textFill>
        </w:rPr>
      </w:pPr>
    </w:p>
    <w:p>
      <w:pPr>
        <w:rPr>
          <w:rFonts w:hint="eastAsia" w:ascii="宋体" w:hAnsi="宋体" w:eastAsia="宋体" w:cs="Arial"/>
          <w:b w:val="0"/>
          <w:bCs w:val="0"/>
          <w:color w:val="000000" w:themeColor="text1"/>
          <w:kern w:val="0"/>
          <w:szCs w:val="32"/>
          <w14:textFill>
            <w14:solidFill>
              <w14:schemeClr w14:val="tx1"/>
            </w14:solidFill>
          </w14:textFill>
        </w:rPr>
      </w:pPr>
    </w:p>
    <w:p>
      <w:pPr>
        <w:jc w:val="center"/>
        <w:rPr>
          <w:rFonts w:hint="eastAsia" w:ascii="宋体" w:hAnsi="宋体" w:eastAsia="宋体" w:cs="Arial"/>
          <w:b w:val="0"/>
          <w:bCs w:val="0"/>
          <w:color w:val="000000" w:themeColor="text1"/>
          <w:sz w:val="44"/>
          <w:szCs w:val="44"/>
        </w:rPr>
      </w:pPr>
      <w:r>
        <w:rPr>
          <w:rFonts w:hint="eastAsia" w:ascii="宋体" w:hAnsi="宋体" w:eastAsia="宋体" w:cs="Arial"/>
          <w:b w:val="0"/>
          <w:bCs w:val="0"/>
          <w:color w:val="000000" w:themeColor="text1"/>
          <w:sz w:val="44"/>
          <w:szCs w:val="44"/>
        </w:rPr>
        <w:t>湖南省实施《中华人民共和国</w:t>
      </w:r>
    </w:p>
    <w:p>
      <w:pPr>
        <w:jc w:val="center"/>
        <w:rPr>
          <w:rFonts w:hint="eastAsia" w:ascii="宋体" w:hAnsi="宋体" w:eastAsia="宋体" w:cs="Arial"/>
          <w:b w:val="0"/>
          <w:bCs w:val="0"/>
          <w:color w:val="000000" w:themeColor="text1"/>
          <w:sz w:val="44"/>
          <w:szCs w:val="44"/>
        </w:rPr>
      </w:pPr>
      <w:r>
        <w:rPr>
          <w:rFonts w:hint="eastAsia" w:ascii="宋体" w:hAnsi="宋体" w:eastAsia="宋体" w:cs="Arial"/>
          <w:b w:val="0"/>
          <w:bCs w:val="0"/>
          <w:color w:val="000000" w:themeColor="text1"/>
          <w:sz w:val="44"/>
          <w:szCs w:val="44"/>
        </w:rPr>
        <w:t>反恐怖主义法》办法</w:t>
      </w:r>
    </w:p>
    <w:p>
      <w:pPr>
        <w:pStyle w:val="2"/>
        <w:keepNext w:val="0"/>
        <w:keepLines w:val="0"/>
        <w:pageBreakBefore w:val="0"/>
        <w:widowControl w:val="0"/>
        <w:kinsoku/>
        <w:wordWrap/>
        <w:overflowPunct/>
        <w:topLinePunct w:val="0"/>
        <w:autoSpaceDE/>
        <w:autoSpaceDN/>
        <w:bidi w:val="0"/>
        <w:adjustRightInd/>
        <w:snapToGrid/>
        <w:spacing w:after="0" w:line="240" w:lineRule="auto"/>
        <w:ind w:left="632" w:leftChars="200" w:right="1134"/>
        <w:jc w:val="left"/>
        <w:textAlignment w:val="auto"/>
        <w:rPr>
          <w:rFonts w:hint="eastAsia" w:ascii="宋体" w:hAnsi="宋体" w:eastAsia="宋体"/>
          <w:b w:val="0"/>
          <w:bCs w:val="0"/>
          <w:color w:val="000000" w:themeColor="text1"/>
          <w:sz w:val="28"/>
          <w:szCs w:val="28"/>
          <w14:textFill>
            <w14:solidFill>
              <w14:schemeClr w14:val="tx1"/>
            </w14:solidFill>
          </w14:textFill>
        </w:rPr>
      </w:pPr>
    </w:p>
    <w:p>
      <w:pPr>
        <w:pStyle w:val="2"/>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left"/>
        <w:textAlignment w:val="auto"/>
        <w:rPr>
          <w:rFonts w:hint="eastAsia" w:ascii="楷体_GB2312" w:hAnsi="Times New Roman" w:eastAsia="楷体_GB2312" w:cs="Times New Roman"/>
          <w:b w:val="0"/>
          <w:bCs w:val="0"/>
          <w:snapToGrid/>
          <w:color w:val="000000" w:themeColor="text1"/>
          <w:kern w:val="2"/>
          <w:sz w:val="32"/>
          <w:szCs w:val="32"/>
          <w:lang w:val="en-US" w:eastAsia="zh-CN" w:bidi="ar-SA"/>
        </w:rPr>
      </w:pPr>
      <w:r>
        <w:rPr>
          <w:rFonts w:hint="eastAsia" w:ascii="楷体_GB2312" w:hAnsi="Times New Roman" w:eastAsia="楷体_GB2312" w:cs="Times New Roman"/>
          <w:b w:val="0"/>
          <w:bCs w:val="0"/>
          <w:snapToGrid/>
          <w:color w:val="000000" w:themeColor="text1"/>
          <w:kern w:val="2"/>
          <w:sz w:val="32"/>
          <w:szCs w:val="32"/>
          <w:lang w:val="en-US" w:eastAsia="zh-CN" w:bidi="ar-SA"/>
        </w:rPr>
        <w:t>（2020年7月30日湖南省第十三届人民代表大会常务委员会第十九次会议通过）</w:t>
      </w:r>
    </w:p>
    <w:p>
      <w:pPr>
        <w:keepNext w:val="0"/>
        <w:keepLines w:val="0"/>
        <w:pageBreakBefore w:val="0"/>
        <w:widowControl w:val="0"/>
        <w:kinsoku/>
        <w:wordWrap/>
        <w:overflowPunct/>
        <w:topLinePunct w:val="0"/>
        <w:autoSpaceDE/>
        <w:autoSpaceDN/>
        <w:bidi w:val="0"/>
        <w:adjustRightInd/>
        <w:snapToGrid/>
        <w:spacing w:line="240" w:lineRule="auto"/>
        <w:ind w:left="632" w:leftChars="200" w:right="1134"/>
        <w:jc w:val="left"/>
        <w:textAlignment w:val="auto"/>
        <w:rPr>
          <w:rFonts w:hint="eastAsia" w:ascii="黑体" w:hAnsi="黑体" w:eastAsia="黑体" w:cs="黑体"/>
          <w:b w:val="0"/>
          <w:bCs w:val="0"/>
          <w:color w:val="000000" w:themeColor="text1"/>
          <w:sz w:val="32"/>
          <w:szCs w:val="32"/>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240" w:lineRule="auto"/>
        <w:ind w:right="0" w:firstLine="632" w:firstLineChars="200"/>
        <w:textAlignment w:val="auto"/>
        <w:rPr>
          <w:rFonts w:hint="eastAsia" w:ascii="仿宋_GB2312" w:eastAsia="仿宋_GB2312"/>
          <w:b w:val="0"/>
          <w:bCs w:val="0"/>
          <w:color w:val="000000"/>
          <w:sz w:val="32"/>
          <w:szCs w:val="32"/>
        </w:rPr>
      </w:pPr>
      <w:r>
        <w:rPr>
          <w:rFonts w:hint="eastAsia" w:ascii="黑体" w:hAnsi="黑体" w:eastAsia="黑体" w:cs="黑体"/>
          <w:b w:val="0"/>
          <w:bCs w:val="0"/>
          <w:color w:val="000000"/>
          <w:sz w:val="32"/>
          <w:szCs w:val="32"/>
        </w:rPr>
        <w:t xml:space="preserve">第一条  </w:t>
      </w:r>
      <w:r>
        <w:rPr>
          <w:rFonts w:hint="eastAsia" w:ascii="仿宋_GB2312" w:hAnsi="仿宋" w:eastAsia="仿宋_GB2312" w:cs="仿宋"/>
          <w:b w:val="0"/>
          <w:bCs w:val="0"/>
          <w:color w:val="000000"/>
          <w:sz w:val="32"/>
          <w:szCs w:val="32"/>
        </w:rPr>
        <w:t>根据《中华人民共和国反恐怖主义法》和其他有关法律、行政法规的规定，结合本省实际，制定本办法。</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right="0" w:firstLine="632" w:firstLineChars="200"/>
        <w:jc w:val="both"/>
        <w:textAlignment w:val="auto"/>
        <w:rPr>
          <w:rFonts w:hint="eastAsia" w:ascii="仿宋_GB2312" w:hAnsi="仿宋" w:eastAsia="仿宋_GB2312"/>
          <w:b w:val="0"/>
          <w:bCs w:val="0"/>
          <w:color w:val="000000"/>
          <w:sz w:val="32"/>
          <w:szCs w:val="32"/>
        </w:rPr>
      </w:pPr>
      <w:r>
        <w:rPr>
          <w:rFonts w:hint="eastAsia" w:ascii="黑体" w:hAnsi="黑体" w:eastAsia="黑体" w:cs="黑体"/>
          <w:b w:val="0"/>
          <w:bCs w:val="0"/>
          <w:color w:val="000000"/>
          <w:kern w:val="2"/>
          <w:sz w:val="32"/>
          <w:szCs w:val="32"/>
        </w:rPr>
        <w:t xml:space="preserve">第二条  </w:t>
      </w:r>
      <w:r>
        <w:rPr>
          <w:rFonts w:hint="eastAsia" w:ascii="仿宋_GB2312" w:hAnsi="仿宋" w:eastAsia="仿宋_GB2312"/>
          <w:b w:val="0"/>
          <w:bCs w:val="0"/>
          <w:color w:val="000000"/>
          <w:sz w:val="32"/>
          <w:szCs w:val="32"/>
        </w:rPr>
        <w:t>县级以上人民政府应当将反恐怖主义工作纳入国民经济和社会发展规划以及平安建设内容，健全反恐怖主义工作机制，加强反恐怖主义宣传教育，将反恐怖主义工作经费纳入本级财政预算，保障反恐怖主义工作基础设施建设和人员、装备的需要。</w:t>
      </w:r>
    </w:p>
    <w:p>
      <w:pPr>
        <w:keepNext w:val="0"/>
        <w:keepLines w:val="0"/>
        <w:pageBreakBefore w:val="0"/>
        <w:widowControl w:val="0"/>
        <w:kinsoku/>
        <w:wordWrap/>
        <w:overflowPunct/>
        <w:topLinePunct w:val="0"/>
        <w:autoSpaceDE/>
        <w:autoSpaceDN/>
        <w:bidi w:val="0"/>
        <w:adjustRightInd/>
        <w:snapToGrid/>
        <w:spacing w:line="240" w:lineRule="auto"/>
        <w:ind w:right="0" w:firstLine="632" w:firstLineChars="200"/>
        <w:textAlignment w:val="auto"/>
        <w:rPr>
          <w:rFonts w:hint="eastAsia" w:ascii="仿宋_GB2312" w:hAnsi="仿宋" w:eastAsia="仿宋_GB2312" w:cs="宋体"/>
          <w:b w:val="0"/>
          <w:bCs w:val="0"/>
          <w:color w:val="000000"/>
          <w:kern w:val="0"/>
          <w:sz w:val="32"/>
          <w:szCs w:val="32"/>
        </w:rPr>
      </w:pPr>
      <w:r>
        <w:rPr>
          <w:rFonts w:hint="eastAsia" w:ascii="仿宋_GB2312" w:hAnsi="仿宋" w:eastAsia="仿宋_GB2312" w:cs="宋体"/>
          <w:b w:val="0"/>
          <w:bCs w:val="0"/>
          <w:color w:val="000000"/>
          <w:kern w:val="0"/>
          <w:sz w:val="32"/>
          <w:szCs w:val="32"/>
        </w:rPr>
        <w:t>乡（镇）人民政府、街道办事处应当根据反恐怖主义工作的要求和本辖区的实际情况明确反恐怖主义工作责任人，将反恐怖主义工作纳入平安建设网格化管理的内容，做好反恐怖主义相关基础信息收集、社会治安巡防、安全隐患排查、宣传教育等工作。</w:t>
      </w:r>
    </w:p>
    <w:p>
      <w:pPr>
        <w:keepNext w:val="0"/>
        <w:keepLines w:val="0"/>
        <w:pageBreakBefore w:val="0"/>
        <w:widowControl w:val="0"/>
        <w:kinsoku/>
        <w:wordWrap/>
        <w:overflowPunct/>
        <w:topLinePunct w:val="0"/>
        <w:autoSpaceDE/>
        <w:autoSpaceDN/>
        <w:bidi w:val="0"/>
        <w:adjustRightInd/>
        <w:snapToGrid/>
        <w:spacing w:line="240" w:lineRule="auto"/>
        <w:ind w:right="0" w:firstLine="632" w:firstLineChars="200"/>
        <w:textAlignment w:val="auto"/>
        <w:rPr>
          <w:rFonts w:hint="eastAsia" w:ascii="仿宋_GB2312" w:hAnsi="仿宋" w:eastAsia="仿宋_GB2312" w:cs="宋体"/>
          <w:b w:val="0"/>
          <w:bCs w:val="0"/>
          <w:color w:val="000000"/>
          <w:kern w:val="0"/>
          <w:sz w:val="32"/>
          <w:szCs w:val="32"/>
        </w:rPr>
      </w:pPr>
      <w:r>
        <w:rPr>
          <w:rFonts w:hint="eastAsia" w:ascii="仿宋_GB2312" w:hAnsi="仿宋" w:eastAsia="仿宋_GB2312" w:cs="宋体"/>
          <w:b w:val="0"/>
          <w:bCs w:val="0"/>
          <w:color w:val="000000"/>
          <w:kern w:val="0"/>
          <w:sz w:val="32"/>
          <w:szCs w:val="32"/>
        </w:rPr>
        <w:t>村（居）民委员会应当配合人民政府做好反恐怖主义工作，采取多种形式对村民、居民进行反恐怖主义宣传教育。</w:t>
      </w:r>
    </w:p>
    <w:p>
      <w:pPr>
        <w:keepNext w:val="0"/>
        <w:keepLines w:val="0"/>
        <w:pageBreakBefore w:val="0"/>
        <w:widowControl w:val="0"/>
        <w:kinsoku/>
        <w:wordWrap/>
        <w:overflowPunct/>
        <w:topLinePunct w:val="0"/>
        <w:autoSpaceDE/>
        <w:autoSpaceDN/>
        <w:bidi w:val="0"/>
        <w:adjustRightInd/>
        <w:snapToGrid/>
        <w:spacing w:line="240" w:lineRule="auto"/>
        <w:ind w:right="0" w:firstLine="632" w:firstLineChars="200"/>
        <w:textAlignment w:val="auto"/>
        <w:rPr>
          <w:rFonts w:hint="eastAsia" w:ascii="仿宋_GB2312" w:hAnsi="仿宋" w:eastAsia="仿宋_GB2312" w:cs="宋体"/>
          <w:b w:val="0"/>
          <w:bCs w:val="0"/>
          <w:color w:val="000000"/>
          <w:kern w:val="0"/>
          <w:sz w:val="32"/>
          <w:szCs w:val="32"/>
        </w:rPr>
      </w:pPr>
      <w:r>
        <w:rPr>
          <w:rFonts w:hint="eastAsia" w:ascii="黑体" w:hAnsi="黑体" w:eastAsia="黑体" w:cs="黑体"/>
          <w:b w:val="0"/>
          <w:bCs w:val="0"/>
          <w:color w:val="000000"/>
          <w:sz w:val="32"/>
          <w:szCs w:val="32"/>
        </w:rPr>
        <w:t xml:space="preserve">第三条  </w:t>
      </w:r>
      <w:r>
        <w:rPr>
          <w:rFonts w:hint="eastAsia" w:ascii="仿宋_GB2312" w:hAnsi="仿宋" w:eastAsia="仿宋_GB2312" w:cs="宋体"/>
          <w:b w:val="0"/>
          <w:bCs w:val="0"/>
          <w:color w:val="000000"/>
          <w:kern w:val="0"/>
          <w:sz w:val="32"/>
          <w:szCs w:val="32"/>
        </w:rPr>
        <w:t>省反恐怖主义工作领导机构按照国家反恐怖主义工作部署，统一领导和指挥全省反恐怖主义工作，制定反恐怖主义安全防范规范。</w:t>
      </w:r>
    </w:p>
    <w:p>
      <w:pPr>
        <w:keepNext w:val="0"/>
        <w:keepLines w:val="0"/>
        <w:pageBreakBefore w:val="0"/>
        <w:widowControl w:val="0"/>
        <w:kinsoku/>
        <w:wordWrap/>
        <w:overflowPunct/>
        <w:topLinePunct w:val="0"/>
        <w:autoSpaceDE/>
        <w:autoSpaceDN/>
        <w:bidi w:val="0"/>
        <w:adjustRightInd/>
        <w:snapToGrid/>
        <w:spacing w:line="240" w:lineRule="auto"/>
        <w:ind w:right="0" w:firstLine="632" w:firstLineChars="200"/>
        <w:textAlignment w:val="auto"/>
        <w:rPr>
          <w:rFonts w:hint="eastAsia" w:ascii="仿宋_GB2312" w:hAnsi="仿宋" w:eastAsia="仿宋_GB2312" w:cs="宋体"/>
          <w:b w:val="0"/>
          <w:bCs w:val="0"/>
          <w:color w:val="000000"/>
          <w:kern w:val="0"/>
          <w:sz w:val="32"/>
          <w:szCs w:val="32"/>
        </w:rPr>
      </w:pPr>
      <w:r>
        <w:rPr>
          <w:rFonts w:hint="eastAsia" w:ascii="仿宋_GB2312" w:hAnsi="仿宋" w:eastAsia="仿宋_GB2312" w:cs="宋体"/>
          <w:b w:val="0"/>
          <w:bCs w:val="0"/>
          <w:color w:val="000000"/>
          <w:kern w:val="0"/>
          <w:sz w:val="32"/>
          <w:szCs w:val="32"/>
        </w:rPr>
        <w:t>设区的市、自治州、县（市、区）反恐怖主义工作领导机构在上级反恐怖主义工作领导机构的领导和指挥下，负责本地区反恐怖主义工作。</w:t>
      </w:r>
    </w:p>
    <w:p>
      <w:pPr>
        <w:keepNext w:val="0"/>
        <w:keepLines w:val="0"/>
        <w:pageBreakBefore w:val="0"/>
        <w:widowControl w:val="0"/>
        <w:kinsoku/>
        <w:wordWrap/>
        <w:overflowPunct/>
        <w:topLinePunct w:val="0"/>
        <w:autoSpaceDE/>
        <w:autoSpaceDN/>
        <w:bidi w:val="0"/>
        <w:adjustRightInd/>
        <w:snapToGrid/>
        <w:spacing w:line="240" w:lineRule="auto"/>
        <w:ind w:right="0" w:firstLine="632" w:firstLineChars="200"/>
        <w:textAlignment w:val="auto"/>
        <w:rPr>
          <w:rFonts w:hint="eastAsia" w:ascii="仿宋_GB2312" w:hAnsi="仿宋" w:eastAsia="仿宋_GB2312" w:cs="宋体"/>
          <w:b w:val="0"/>
          <w:bCs w:val="0"/>
          <w:color w:val="000000"/>
          <w:kern w:val="0"/>
          <w:sz w:val="32"/>
          <w:szCs w:val="32"/>
        </w:rPr>
      </w:pPr>
      <w:r>
        <w:rPr>
          <w:rFonts w:hint="eastAsia" w:ascii="仿宋_GB2312" w:hAnsi="仿宋" w:eastAsia="仿宋_GB2312" w:cs="宋体"/>
          <w:b w:val="0"/>
          <w:bCs w:val="0"/>
          <w:color w:val="000000"/>
          <w:kern w:val="0"/>
          <w:sz w:val="32"/>
          <w:szCs w:val="32"/>
        </w:rPr>
        <w:t>反恐怖主义工作领导机构应当加强办事机构建设，建立和完善常态化工作机制，配备必要工作人员。办事机构负责反恐怖主义工作领导机构的日常工作。</w:t>
      </w:r>
    </w:p>
    <w:p>
      <w:pPr>
        <w:keepNext w:val="0"/>
        <w:keepLines w:val="0"/>
        <w:pageBreakBefore w:val="0"/>
        <w:widowControl w:val="0"/>
        <w:kinsoku/>
        <w:wordWrap/>
        <w:overflowPunct/>
        <w:topLinePunct w:val="0"/>
        <w:autoSpaceDE/>
        <w:autoSpaceDN/>
        <w:bidi w:val="0"/>
        <w:adjustRightInd/>
        <w:snapToGrid/>
        <w:spacing w:line="240" w:lineRule="auto"/>
        <w:ind w:right="0" w:firstLine="632" w:firstLineChars="200"/>
        <w:textAlignment w:val="auto"/>
        <w:rPr>
          <w:rFonts w:hint="eastAsia" w:ascii="仿宋_GB2312" w:hAnsi="仿宋" w:eastAsia="仿宋_GB2312" w:cs="仿宋"/>
          <w:b w:val="0"/>
          <w:bCs w:val="0"/>
          <w:color w:val="000000"/>
          <w:sz w:val="32"/>
          <w:szCs w:val="32"/>
        </w:rPr>
      </w:pPr>
      <w:r>
        <w:rPr>
          <w:rFonts w:hint="eastAsia" w:ascii="黑体" w:hAnsi="黑体" w:eastAsia="黑体" w:cs="黑体"/>
          <w:b w:val="0"/>
          <w:bCs w:val="0"/>
          <w:color w:val="000000"/>
          <w:sz w:val="32"/>
          <w:szCs w:val="32"/>
        </w:rPr>
        <w:t xml:space="preserve">第四条  </w:t>
      </w:r>
      <w:r>
        <w:rPr>
          <w:rFonts w:hint="eastAsia" w:ascii="仿宋_GB2312" w:hAnsi="仿宋" w:eastAsia="仿宋_GB2312" w:cs="仿宋"/>
          <w:b w:val="0"/>
          <w:bCs w:val="0"/>
          <w:color w:val="000000"/>
          <w:sz w:val="32"/>
          <w:szCs w:val="32"/>
        </w:rPr>
        <w:t>反恐怖主义工作领导机构应当制定反恐怖主义工作规划、计划、预案和措施,建立和实施反恐怖主义工作责任制，组织开展反恐怖主义宣传教育,指挥反恐怖主义的专项行动和恐怖事件应对处置，做好国家和省规定的其他工作。</w:t>
      </w:r>
    </w:p>
    <w:p>
      <w:pPr>
        <w:keepNext w:val="0"/>
        <w:keepLines w:val="0"/>
        <w:pageBreakBefore w:val="0"/>
        <w:widowControl w:val="0"/>
        <w:kinsoku/>
        <w:wordWrap/>
        <w:overflowPunct/>
        <w:topLinePunct w:val="0"/>
        <w:autoSpaceDE/>
        <w:autoSpaceDN/>
        <w:bidi w:val="0"/>
        <w:adjustRightInd/>
        <w:snapToGrid/>
        <w:spacing w:line="240" w:lineRule="auto"/>
        <w:ind w:right="0" w:firstLine="632" w:firstLineChars="200"/>
        <w:textAlignment w:val="auto"/>
        <w:rPr>
          <w:rFonts w:hint="eastAsia" w:ascii="仿宋_GB2312" w:hAnsi="仿宋" w:eastAsia="仿宋_GB2312" w:cs="仿宋"/>
          <w:b w:val="0"/>
          <w:bCs w:val="0"/>
          <w:color w:val="000000"/>
          <w:sz w:val="32"/>
          <w:szCs w:val="32"/>
        </w:rPr>
      </w:pPr>
      <w:r>
        <w:rPr>
          <w:rFonts w:hint="eastAsia" w:ascii="黑体" w:hAnsi="黑体" w:eastAsia="黑体" w:cs="黑体"/>
          <w:b w:val="0"/>
          <w:bCs w:val="0"/>
          <w:color w:val="000000"/>
          <w:sz w:val="32"/>
          <w:szCs w:val="32"/>
        </w:rPr>
        <w:t xml:space="preserve">第五条  </w:t>
      </w:r>
      <w:r>
        <w:rPr>
          <w:rFonts w:hint="eastAsia" w:ascii="仿宋_GB2312" w:hAnsi="仿宋" w:eastAsia="仿宋_GB2312" w:cs="仿宋"/>
          <w:b w:val="0"/>
          <w:bCs w:val="0"/>
          <w:color w:val="000000"/>
          <w:sz w:val="32"/>
          <w:szCs w:val="32"/>
        </w:rPr>
        <w:t>反恐怖主义工作领导机构成员单位、工作联系单位以及其他有关单位</w:t>
      </w:r>
      <w:r>
        <w:rPr>
          <w:rFonts w:hint="eastAsia" w:ascii="仿宋_GB2312" w:hAnsi="黑体" w:eastAsia="仿宋_GB2312" w:cs="仿宋"/>
          <w:b w:val="0"/>
          <w:bCs w:val="0"/>
          <w:color w:val="000000"/>
          <w:sz w:val="32"/>
          <w:szCs w:val="32"/>
        </w:rPr>
        <w:t>，</w:t>
      </w:r>
      <w:r>
        <w:rPr>
          <w:rFonts w:hint="eastAsia" w:ascii="仿宋_GB2312" w:hAnsi="仿宋" w:eastAsia="仿宋_GB2312" w:cs="仿宋"/>
          <w:b w:val="0"/>
          <w:bCs w:val="0"/>
          <w:color w:val="000000"/>
          <w:sz w:val="32"/>
          <w:szCs w:val="32"/>
        </w:rPr>
        <w:t>应当制定本行业、本系统或者本单位反恐怖主义工作预案，开展防范技能培训和应对处置演练，进行反恐怖主义安全隐患排查和风险评估，指导重点目标的管理单位落实安全防范措施，做好基础信息收集、报送以及国家和省规定的其他工作。</w:t>
      </w:r>
    </w:p>
    <w:p>
      <w:pPr>
        <w:keepNext w:val="0"/>
        <w:keepLines w:val="0"/>
        <w:pageBreakBefore w:val="0"/>
        <w:widowControl w:val="0"/>
        <w:kinsoku/>
        <w:wordWrap/>
        <w:overflowPunct/>
        <w:topLinePunct w:val="0"/>
        <w:autoSpaceDE/>
        <w:autoSpaceDN/>
        <w:bidi w:val="0"/>
        <w:adjustRightInd/>
        <w:snapToGrid/>
        <w:spacing w:line="240" w:lineRule="auto"/>
        <w:ind w:right="0" w:firstLine="632" w:firstLineChars="200"/>
        <w:textAlignment w:val="auto"/>
        <w:rPr>
          <w:rFonts w:hint="eastAsia" w:ascii="仿宋_GB2312" w:hAnsi="仿宋" w:eastAsia="仿宋_GB2312" w:cs="仿宋"/>
          <w:b w:val="0"/>
          <w:bCs w:val="0"/>
          <w:color w:val="000000"/>
          <w:sz w:val="32"/>
          <w:szCs w:val="32"/>
        </w:rPr>
      </w:pPr>
      <w:r>
        <w:rPr>
          <w:rFonts w:hint="eastAsia" w:ascii="仿宋_GB2312" w:hAnsi="仿宋" w:eastAsia="仿宋_GB2312" w:cs="仿宋"/>
          <w:b w:val="0"/>
          <w:bCs w:val="0"/>
          <w:color w:val="000000"/>
          <w:sz w:val="32"/>
          <w:szCs w:val="32"/>
        </w:rPr>
        <w:t>省直有关部门根据全省反恐怖主义安全防范规范，制定行业或者单位反恐怖主义安全防范规范，并报省反恐怖主义工作领导机构备案。</w:t>
      </w:r>
    </w:p>
    <w:p>
      <w:pPr>
        <w:keepNext w:val="0"/>
        <w:keepLines w:val="0"/>
        <w:pageBreakBefore w:val="0"/>
        <w:widowControl w:val="0"/>
        <w:kinsoku/>
        <w:wordWrap/>
        <w:overflowPunct/>
        <w:topLinePunct w:val="0"/>
        <w:autoSpaceDE/>
        <w:autoSpaceDN/>
        <w:bidi w:val="0"/>
        <w:adjustRightInd/>
        <w:snapToGrid/>
        <w:spacing w:line="240" w:lineRule="auto"/>
        <w:ind w:right="0" w:firstLine="632" w:firstLineChars="200"/>
        <w:textAlignment w:val="auto"/>
        <w:rPr>
          <w:rFonts w:hint="eastAsia" w:ascii="仿宋_GB2312" w:hAnsi="仿宋" w:eastAsia="仿宋_GB2312" w:cs="仿宋"/>
          <w:b w:val="0"/>
          <w:bCs w:val="0"/>
          <w:color w:val="000000"/>
          <w:sz w:val="32"/>
          <w:szCs w:val="32"/>
          <w:bdr w:val="single" w:color="auto" w:sz="4" w:space="0"/>
          <w:shd w:val="pct10" w:color="auto" w:fill="FFFFFF"/>
        </w:rPr>
      </w:pPr>
      <w:r>
        <w:rPr>
          <w:rFonts w:hint="eastAsia" w:ascii="黑体" w:hAnsi="黑体" w:eastAsia="黑体" w:cs="黑体"/>
          <w:b w:val="0"/>
          <w:bCs w:val="0"/>
          <w:color w:val="000000"/>
          <w:sz w:val="32"/>
          <w:szCs w:val="32"/>
        </w:rPr>
        <w:t xml:space="preserve">第六条  </w:t>
      </w:r>
      <w:r>
        <w:rPr>
          <w:rFonts w:hint="eastAsia" w:ascii="仿宋_GB2312" w:hAnsi="仿宋" w:eastAsia="仿宋_GB2312" w:cs="仿宋"/>
          <w:b w:val="0"/>
          <w:bCs w:val="0"/>
          <w:color w:val="000000"/>
          <w:sz w:val="32"/>
          <w:szCs w:val="32"/>
        </w:rPr>
        <w:t>反恐怖主义工作领导机构应当推动建立跨地区、跨部门联合反恐怖主义协作机制，构建综合防范、应对处置体系；</w:t>
      </w:r>
      <w:r>
        <w:rPr>
          <w:rFonts w:hint="eastAsia" w:ascii="仿宋_GB2312" w:hAnsi="仿宋" w:eastAsia="仿宋_GB2312" w:cs="宋体"/>
          <w:b w:val="0"/>
          <w:bCs w:val="0"/>
          <w:color w:val="000000"/>
          <w:kern w:val="0"/>
          <w:sz w:val="32"/>
          <w:szCs w:val="32"/>
        </w:rPr>
        <w:t>建立督察工作制度，对本级反恐怖主义工作领导机构成员单位和下级反恐怖主义工作领导机构履行反恐怖主义工作职责的情况开展督察，发现问题的，责令改正，可以对有关负责人进行约谈、通报，并可以向有关任免机关、监察机关提出处理建议。</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right="0" w:firstLine="632" w:firstLineChars="200"/>
        <w:jc w:val="both"/>
        <w:textAlignment w:val="auto"/>
        <w:rPr>
          <w:rFonts w:hint="eastAsia" w:ascii="仿宋_GB2312" w:hAnsi="仿宋" w:eastAsia="仿宋_GB2312" w:cs="仿宋"/>
          <w:b w:val="0"/>
          <w:bCs w:val="0"/>
          <w:color w:val="000000"/>
          <w:sz w:val="32"/>
          <w:szCs w:val="32"/>
        </w:rPr>
      </w:pPr>
      <w:r>
        <w:rPr>
          <w:rFonts w:hint="eastAsia" w:ascii="黑体" w:hAnsi="黑体" w:eastAsia="黑体" w:cs="黑体"/>
          <w:b w:val="0"/>
          <w:bCs w:val="0"/>
          <w:color w:val="000000"/>
          <w:kern w:val="2"/>
          <w:sz w:val="32"/>
          <w:szCs w:val="32"/>
        </w:rPr>
        <w:t xml:space="preserve">第七条  </w:t>
      </w:r>
      <w:r>
        <w:rPr>
          <w:rFonts w:hint="eastAsia" w:ascii="仿宋_GB2312" w:hAnsi="仿宋" w:eastAsia="仿宋_GB2312" w:cs="黑体"/>
          <w:b w:val="0"/>
          <w:bCs w:val="0"/>
          <w:color w:val="000000"/>
          <w:sz w:val="32"/>
          <w:szCs w:val="32"/>
        </w:rPr>
        <w:t>国家机关、</w:t>
      </w:r>
      <w:r>
        <w:rPr>
          <w:rFonts w:hint="eastAsia" w:ascii="仿宋_GB2312" w:hAnsi="仿宋" w:eastAsia="仿宋_GB2312" w:cs="仿宋"/>
          <w:b w:val="0"/>
          <w:bCs w:val="0"/>
          <w:color w:val="000000"/>
          <w:sz w:val="32"/>
          <w:szCs w:val="32"/>
        </w:rPr>
        <w:t>企业事业单位、社会团体和其他组织应当结合自身特点，开展反恐怖主义宣传教育和培训。</w:t>
      </w:r>
    </w:p>
    <w:p>
      <w:pPr>
        <w:keepNext w:val="0"/>
        <w:keepLines w:val="0"/>
        <w:pageBreakBefore w:val="0"/>
        <w:widowControl w:val="0"/>
        <w:kinsoku/>
        <w:wordWrap/>
        <w:overflowPunct/>
        <w:topLinePunct w:val="0"/>
        <w:autoSpaceDE/>
        <w:autoSpaceDN/>
        <w:bidi w:val="0"/>
        <w:adjustRightInd/>
        <w:snapToGrid/>
        <w:spacing w:line="240" w:lineRule="auto"/>
        <w:ind w:right="0" w:firstLine="632" w:firstLineChars="200"/>
        <w:textAlignment w:val="auto"/>
        <w:rPr>
          <w:rFonts w:hint="eastAsia" w:ascii="仿宋_GB2312" w:hAnsi="仿宋" w:eastAsia="仿宋_GB2312" w:cs="仿宋"/>
          <w:b w:val="0"/>
          <w:bCs w:val="0"/>
          <w:color w:val="000000"/>
          <w:sz w:val="32"/>
          <w:szCs w:val="32"/>
        </w:rPr>
      </w:pPr>
      <w:r>
        <w:rPr>
          <w:rFonts w:hint="eastAsia" w:ascii="仿宋_GB2312" w:hAnsi="仿宋" w:eastAsia="仿宋_GB2312" w:cs="仿宋"/>
          <w:b w:val="0"/>
          <w:bCs w:val="0"/>
          <w:color w:val="000000"/>
          <w:sz w:val="32"/>
          <w:szCs w:val="32"/>
        </w:rPr>
        <w:t>广播、电视、报刊、互联网等媒体应当刊播反恐怖主义公益广告，宣传反恐怖主义知识。</w:t>
      </w:r>
    </w:p>
    <w:p>
      <w:pPr>
        <w:keepNext w:val="0"/>
        <w:keepLines w:val="0"/>
        <w:pageBreakBefore w:val="0"/>
        <w:widowControl w:val="0"/>
        <w:kinsoku/>
        <w:wordWrap/>
        <w:overflowPunct/>
        <w:topLinePunct w:val="0"/>
        <w:autoSpaceDE/>
        <w:autoSpaceDN/>
        <w:bidi w:val="0"/>
        <w:adjustRightInd/>
        <w:snapToGrid/>
        <w:spacing w:line="240" w:lineRule="auto"/>
        <w:ind w:right="0" w:firstLine="632" w:firstLineChars="200"/>
        <w:textAlignment w:val="auto"/>
        <w:rPr>
          <w:rFonts w:hint="eastAsia" w:ascii="仿宋_GB2312" w:hAnsi="仿宋" w:eastAsia="仿宋_GB2312" w:cs="仿宋_GB2312"/>
          <w:b w:val="0"/>
          <w:bCs w:val="0"/>
          <w:color w:val="000000"/>
          <w:sz w:val="32"/>
          <w:szCs w:val="32"/>
        </w:rPr>
      </w:pPr>
      <w:r>
        <w:rPr>
          <w:rFonts w:hint="eastAsia" w:ascii="黑体" w:hAnsi="黑体" w:eastAsia="黑体" w:cs="黑体"/>
          <w:b w:val="0"/>
          <w:bCs w:val="0"/>
          <w:color w:val="000000"/>
          <w:sz w:val="32"/>
          <w:szCs w:val="32"/>
        </w:rPr>
        <w:t xml:space="preserve">第八条  </w:t>
      </w:r>
      <w:r>
        <w:rPr>
          <w:rFonts w:hint="eastAsia" w:ascii="仿宋_GB2312" w:hAnsi="仿宋" w:eastAsia="仿宋_GB2312" w:cs="仿宋_GB2312"/>
          <w:b w:val="0"/>
          <w:bCs w:val="0"/>
          <w:color w:val="000000"/>
          <w:sz w:val="32"/>
          <w:szCs w:val="32"/>
        </w:rPr>
        <w:t>公安机关、人民法院、人民检察院以及其他有关部门和单位，应当根据各自职责，结合日常工作，对有极端主义倾向和仇恨社会、报复社会倾向的人员进行摸底排查和帮教。</w:t>
      </w:r>
    </w:p>
    <w:p>
      <w:pPr>
        <w:keepNext w:val="0"/>
        <w:keepLines w:val="0"/>
        <w:pageBreakBefore w:val="0"/>
        <w:widowControl w:val="0"/>
        <w:kinsoku/>
        <w:wordWrap/>
        <w:overflowPunct/>
        <w:topLinePunct w:val="0"/>
        <w:autoSpaceDE/>
        <w:autoSpaceDN/>
        <w:bidi w:val="0"/>
        <w:adjustRightInd/>
        <w:snapToGrid/>
        <w:spacing w:line="240" w:lineRule="auto"/>
        <w:ind w:right="0" w:firstLine="632" w:firstLineChars="200"/>
        <w:textAlignment w:val="auto"/>
        <w:rPr>
          <w:rFonts w:hint="eastAsia" w:ascii="仿宋_GB2312" w:hAnsi="仿宋" w:eastAsia="仿宋_GB2312" w:cs="仿宋_GB2312"/>
          <w:b w:val="0"/>
          <w:bCs w:val="0"/>
          <w:color w:val="000000"/>
          <w:sz w:val="32"/>
          <w:szCs w:val="32"/>
        </w:rPr>
      </w:pPr>
      <w:r>
        <w:rPr>
          <w:rFonts w:hint="eastAsia" w:ascii="仿宋_GB2312" w:hAnsi="仿宋" w:eastAsia="仿宋_GB2312" w:cs="仿宋_GB2312"/>
          <w:b w:val="0"/>
          <w:bCs w:val="0"/>
          <w:color w:val="000000"/>
          <w:sz w:val="32"/>
          <w:szCs w:val="32"/>
        </w:rPr>
        <w:t>乡（镇）人民政府、街道办事处应当组织村（居）民委员会以及有关单位和人员，对本区域内的居民和流动人口进行摸底排查，对前款所述人员明确帮教责任单位和责任人，采取法治教育、心理疏导、矛盾调解、困难帮扶等帮教措施，动态掌握全面情况。</w:t>
      </w:r>
    </w:p>
    <w:p>
      <w:pPr>
        <w:keepNext w:val="0"/>
        <w:keepLines w:val="0"/>
        <w:pageBreakBefore w:val="0"/>
        <w:widowControl w:val="0"/>
        <w:kinsoku/>
        <w:wordWrap/>
        <w:overflowPunct/>
        <w:topLinePunct w:val="0"/>
        <w:autoSpaceDE/>
        <w:autoSpaceDN/>
        <w:bidi w:val="0"/>
        <w:adjustRightInd/>
        <w:snapToGrid/>
        <w:spacing w:line="240" w:lineRule="auto"/>
        <w:ind w:right="0" w:firstLine="632" w:firstLineChars="200"/>
        <w:textAlignment w:val="auto"/>
        <w:rPr>
          <w:rFonts w:hint="eastAsia" w:ascii="仿宋_GB2312" w:hAnsi="仿宋" w:eastAsia="仿宋_GB2312" w:cs="仿宋_GB2312"/>
          <w:b w:val="0"/>
          <w:bCs w:val="0"/>
          <w:color w:val="000000"/>
          <w:sz w:val="32"/>
          <w:szCs w:val="32"/>
          <w:bdr w:val="single" w:color="auto" w:sz="4" w:space="0"/>
          <w:shd w:val="pct10" w:color="auto" w:fill="FFFFFF"/>
        </w:rPr>
      </w:pPr>
      <w:r>
        <w:rPr>
          <w:rFonts w:hint="eastAsia" w:ascii="仿宋_GB2312" w:hAnsi="仿宋" w:eastAsia="仿宋_GB2312" w:cs="仿宋_GB2312"/>
          <w:b w:val="0"/>
          <w:bCs w:val="0"/>
          <w:color w:val="000000"/>
          <w:sz w:val="32"/>
          <w:szCs w:val="32"/>
        </w:rPr>
        <w:t>有关部门和单位应当按规定将在摸底排查和帮教中发现的重要情况向公安机关报告。公安机关应当及时进行社会风险性评估，发现恐怖活动或者极端行为线索的，迅速调查和处置。</w:t>
      </w:r>
    </w:p>
    <w:p>
      <w:pPr>
        <w:keepNext w:val="0"/>
        <w:keepLines w:val="0"/>
        <w:pageBreakBefore w:val="0"/>
        <w:widowControl w:val="0"/>
        <w:kinsoku/>
        <w:wordWrap/>
        <w:overflowPunct/>
        <w:topLinePunct w:val="0"/>
        <w:autoSpaceDE/>
        <w:autoSpaceDN/>
        <w:bidi w:val="0"/>
        <w:adjustRightInd/>
        <w:snapToGrid/>
        <w:spacing w:line="240" w:lineRule="auto"/>
        <w:ind w:right="0" w:firstLine="632" w:firstLineChars="200"/>
        <w:textAlignment w:val="auto"/>
        <w:rPr>
          <w:rFonts w:hint="eastAsia" w:ascii="仿宋_GB2312" w:hAnsi="仿宋" w:eastAsia="仿宋_GB2312" w:cs="仿宋"/>
          <w:b w:val="0"/>
          <w:bCs w:val="0"/>
          <w:color w:val="000000"/>
          <w:sz w:val="32"/>
          <w:szCs w:val="32"/>
        </w:rPr>
      </w:pPr>
      <w:r>
        <w:rPr>
          <w:rFonts w:hint="eastAsia" w:ascii="黑体" w:hAnsi="黑体" w:eastAsia="黑体" w:cs="黑体"/>
          <w:b w:val="0"/>
          <w:bCs w:val="0"/>
          <w:color w:val="000000"/>
          <w:sz w:val="32"/>
          <w:szCs w:val="32"/>
        </w:rPr>
        <w:t xml:space="preserve">第九条  </w:t>
      </w:r>
      <w:r>
        <w:rPr>
          <w:rFonts w:hint="eastAsia" w:ascii="仿宋_GB2312" w:hAnsi="仿宋" w:eastAsia="仿宋_GB2312" w:cs="仿宋"/>
          <w:b w:val="0"/>
          <w:bCs w:val="0"/>
          <w:color w:val="000000"/>
          <w:sz w:val="32"/>
          <w:szCs w:val="32"/>
        </w:rPr>
        <w:t>反恐怖主义工作领导机构和有关部门应当指导大数据所有者、管理使用者、服务提供者落实大数据领域反恐怖主义工作措施，防范利用大数据泄露、篡改、盗用和非法使用等手段制造恐怖事件。</w:t>
      </w:r>
    </w:p>
    <w:p>
      <w:pPr>
        <w:keepNext w:val="0"/>
        <w:keepLines w:val="0"/>
        <w:pageBreakBefore w:val="0"/>
        <w:widowControl w:val="0"/>
        <w:kinsoku/>
        <w:wordWrap/>
        <w:overflowPunct/>
        <w:topLinePunct w:val="0"/>
        <w:autoSpaceDE/>
        <w:autoSpaceDN/>
        <w:bidi w:val="0"/>
        <w:adjustRightInd/>
        <w:snapToGrid/>
        <w:spacing w:line="240" w:lineRule="auto"/>
        <w:ind w:right="0" w:firstLine="632" w:firstLineChars="200"/>
        <w:textAlignment w:val="auto"/>
        <w:rPr>
          <w:rFonts w:hint="eastAsia" w:ascii="仿宋_GB2312" w:hAnsi="仿宋" w:eastAsia="仿宋_GB2312" w:cs="仿宋"/>
          <w:b w:val="0"/>
          <w:bCs w:val="0"/>
          <w:color w:val="000000"/>
          <w:sz w:val="32"/>
          <w:szCs w:val="32"/>
        </w:rPr>
      </w:pPr>
      <w:r>
        <w:rPr>
          <w:rFonts w:hint="eastAsia" w:ascii="黑体" w:hAnsi="黑体" w:eastAsia="黑体" w:cs="黑体"/>
          <w:b w:val="0"/>
          <w:bCs w:val="0"/>
          <w:color w:val="000000"/>
          <w:sz w:val="32"/>
          <w:szCs w:val="32"/>
        </w:rPr>
        <w:t xml:space="preserve">第十条  </w:t>
      </w:r>
      <w:r>
        <w:rPr>
          <w:rFonts w:hint="eastAsia" w:ascii="仿宋_GB2312" w:hAnsi="仿宋" w:eastAsia="仿宋_GB2312" w:cs="仿宋"/>
          <w:b w:val="0"/>
          <w:bCs w:val="0"/>
          <w:color w:val="000000"/>
          <w:sz w:val="32"/>
          <w:szCs w:val="32"/>
        </w:rPr>
        <w:t>反恐怖主义工作领导机构和卫生健康等部门应当依照规定，指导监督疾病预防控制机构、医疗机构、从事病源微生物实验的单位、保藏机构等，落实传染菌种、毒种和传染病检测样本的采集、保藏、携带、运输和使用过程的反恐怖主义工作措施，防范利用传染病病原体等物质扩散或者流入非法渠道制造恐怖事件。</w:t>
      </w:r>
    </w:p>
    <w:p>
      <w:pPr>
        <w:keepNext w:val="0"/>
        <w:keepLines w:val="0"/>
        <w:pageBreakBefore w:val="0"/>
        <w:widowControl w:val="0"/>
        <w:kinsoku/>
        <w:wordWrap/>
        <w:overflowPunct/>
        <w:topLinePunct w:val="0"/>
        <w:autoSpaceDE/>
        <w:autoSpaceDN/>
        <w:bidi w:val="0"/>
        <w:adjustRightInd/>
        <w:snapToGrid/>
        <w:spacing w:line="240" w:lineRule="auto"/>
        <w:ind w:right="0" w:firstLine="632" w:firstLineChars="200"/>
        <w:textAlignment w:val="auto"/>
        <w:rPr>
          <w:rFonts w:hint="eastAsia" w:ascii="仿宋_GB2312" w:hAnsi="仿宋" w:eastAsia="仿宋_GB2312" w:cs="仿宋"/>
          <w:b w:val="0"/>
          <w:bCs w:val="0"/>
          <w:color w:val="000000"/>
          <w:sz w:val="32"/>
          <w:szCs w:val="32"/>
        </w:rPr>
      </w:pPr>
      <w:r>
        <w:rPr>
          <w:rFonts w:hint="eastAsia" w:ascii="仿宋_GB2312" w:hAnsi="仿宋" w:eastAsia="仿宋_GB2312" w:cs="仿宋"/>
          <w:b w:val="0"/>
          <w:bCs w:val="0"/>
          <w:color w:val="000000"/>
          <w:sz w:val="32"/>
          <w:szCs w:val="32"/>
        </w:rPr>
        <w:t>科研院所和其他单位的实验室，应当按照规定加强对危险物品的管理，防止流入社会。</w:t>
      </w:r>
    </w:p>
    <w:p>
      <w:pPr>
        <w:keepNext w:val="0"/>
        <w:keepLines w:val="0"/>
        <w:pageBreakBefore w:val="0"/>
        <w:widowControl w:val="0"/>
        <w:kinsoku/>
        <w:wordWrap/>
        <w:overflowPunct/>
        <w:topLinePunct w:val="0"/>
        <w:autoSpaceDE/>
        <w:autoSpaceDN/>
        <w:bidi w:val="0"/>
        <w:adjustRightInd/>
        <w:snapToGrid/>
        <w:spacing w:line="240" w:lineRule="auto"/>
        <w:ind w:right="0" w:firstLine="632" w:firstLineChars="200"/>
        <w:textAlignment w:val="auto"/>
        <w:rPr>
          <w:rFonts w:hint="eastAsia" w:ascii="仿宋_GB2312" w:hAnsi="仿宋" w:eastAsia="仿宋_GB2312" w:cs="仿宋"/>
          <w:b w:val="0"/>
          <w:bCs w:val="0"/>
          <w:color w:val="000000"/>
          <w:sz w:val="32"/>
          <w:szCs w:val="32"/>
        </w:rPr>
      </w:pPr>
      <w:r>
        <w:rPr>
          <w:rFonts w:hint="eastAsia" w:ascii="黑体" w:hAnsi="黑体" w:eastAsia="黑体" w:cs="黑体"/>
          <w:b w:val="0"/>
          <w:bCs w:val="0"/>
          <w:color w:val="000000"/>
          <w:sz w:val="32"/>
          <w:szCs w:val="32"/>
        </w:rPr>
        <w:t xml:space="preserve">第十一条  </w:t>
      </w:r>
      <w:r>
        <w:rPr>
          <w:rFonts w:hint="eastAsia" w:ascii="仿宋_GB2312" w:hAnsi="仿宋" w:eastAsia="仿宋_GB2312" w:cs="宋体"/>
          <w:b w:val="0"/>
          <w:bCs w:val="0"/>
          <w:color w:val="000000"/>
          <w:kern w:val="0"/>
          <w:sz w:val="32"/>
          <w:szCs w:val="32"/>
        </w:rPr>
        <w:t>公安机关应当会同有关部门，按照国家有关规定将</w:t>
      </w:r>
      <w:r>
        <w:rPr>
          <w:rFonts w:hint="eastAsia" w:ascii="仿宋_GB2312" w:hAnsi="仿宋" w:eastAsia="仿宋_GB2312" w:cs="仿宋"/>
          <w:b w:val="0"/>
          <w:bCs w:val="0"/>
          <w:color w:val="000000"/>
          <w:sz w:val="32"/>
          <w:szCs w:val="32"/>
        </w:rPr>
        <w:t>遭受恐怖袭击的可能性较大以及遭受恐怖袭击可能造成重大人员伤亡、财产损失或者社会影响的国家机关、学校、机场、车站、医院和供水、供电、供气、供热、储油输油等单位、场所、设施，以及大型文化、体育、宗教、演出等活动，确定为防范恐怖袭击的重点目标，并报本级反恐怖主义工作领导机构备案。</w:t>
      </w:r>
    </w:p>
    <w:p>
      <w:pPr>
        <w:keepNext w:val="0"/>
        <w:keepLines w:val="0"/>
        <w:pageBreakBefore w:val="0"/>
        <w:widowControl w:val="0"/>
        <w:kinsoku/>
        <w:wordWrap/>
        <w:overflowPunct/>
        <w:topLinePunct w:val="0"/>
        <w:autoSpaceDE/>
        <w:autoSpaceDN/>
        <w:bidi w:val="0"/>
        <w:adjustRightInd/>
        <w:snapToGrid/>
        <w:spacing w:line="240" w:lineRule="auto"/>
        <w:ind w:right="0" w:firstLine="632" w:firstLineChars="200"/>
        <w:textAlignment w:val="auto"/>
        <w:rPr>
          <w:rFonts w:hint="eastAsia" w:ascii="仿宋_GB2312" w:hAnsi="仿宋" w:eastAsia="仿宋_GB2312" w:cs="仿宋"/>
          <w:b w:val="0"/>
          <w:bCs w:val="0"/>
          <w:color w:val="000000"/>
          <w:sz w:val="32"/>
          <w:szCs w:val="32"/>
        </w:rPr>
      </w:pPr>
      <w:r>
        <w:rPr>
          <w:rFonts w:hint="eastAsia" w:ascii="仿宋_GB2312" w:hAnsi="仿宋" w:eastAsia="仿宋_GB2312" w:cs="仿宋"/>
          <w:b w:val="0"/>
          <w:bCs w:val="0"/>
          <w:color w:val="000000"/>
          <w:sz w:val="32"/>
          <w:szCs w:val="32"/>
        </w:rPr>
        <w:t>重点目标确定后，公安机关应当及时书面告知重点目标的管理单位依法履行安全防范职责。</w:t>
      </w:r>
    </w:p>
    <w:p>
      <w:pPr>
        <w:keepNext w:val="0"/>
        <w:keepLines w:val="0"/>
        <w:pageBreakBefore w:val="0"/>
        <w:widowControl w:val="0"/>
        <w:kinsoku/>
        <w:wordWrap/>
        <w:overflowPunct/>
        <w:topLinePunct w:val="0"/>
        <w:autoSpaceDE/>
        <w:autoSpaceDN/>
        <w:bidi w:val="0"/>
        <w:adjustRightInd/>
        <w:snapToGrid/>
        <w:spacing w:line="240" w:lineRule="auto"/>
        <w:ind w:right="0" w:firstLine="632" w:firstLineChars="200"/>
        <w:textAlignment w:val="auto"/>
        <w:rPr>
          <w:rFonts w:hint="eastAsia" w:ascii="仿宋_GB2312" w:hAnsi="仿宋" w:eastAsia="仿宋_GB2312" w:cs="仿宋"/>
          <w:b w:val="0"/>
          <w:bCs w:val="0"/>
          <w:color w:val="000000"/>
          <w:sz w:val="32"/>
          <w:szCs w:val="32"/>
        </w:rPr>
      </w:pPr>
      <w:r>
        <w:rPr>
          <w:rFonts w:hint="eastAsia" w:ascii="仿宋_GB2312" w:hAnsi="仿宋" w:eastAsia="仿宋_GB2312" w:cs="仿宋"/>
          <w:b w:val="0"/>
          <w:bCs w:val="0"/>
          <w:color w:val="000000"/>
          <w:sz w:val="32"/>
          <w:szCs w:val="32"/>
        </w:rPr>
        <w:t>因拆迁等原因撤销重点目标的，重点目标的管理单位应当及时向当地公安机关报告。</w:t>
      </w:r>
    </w:p>
    <w:p>
      <w:pPr>
        <w:keepNext w:val="0"/>
        <w:keepLines w:val="0"/>
        <w:pageBreakBefore w:val="0"/>
        <w:widowControl w:val="0"/>
        <w:kinsoku/>
        <w:wordWrap/>
        <w:overflowPunct/>
        <w:topLinePunct w:val="0"/>
        <w:autoSpaceDE/>
        <w:autoSpaceDN/>
        <w:bidi w:val="0"/>
        <w:adjustRightInd/>
        <w:snapToGrid/>
        <w:spacing w:line="240" w:lineRule="auto"/>
        <w:ind w:right="0" w:firstLine="632" w:firstLineChars="200"/>
        <w:textAlignment w:val="auto"/>
        <w:rPr>
          <w:rFonts w:hint="eastAsia" w:ascii="仿宋_GB2312" w:hAnsi="仿宋" w:eastAsia="仿宋_GB2312" w:cs="仿宋_GB2312"/>
          <w:b w:val="0"/>
          <w:bCs w:val="0"/>
          <w:color w:val="000000"/>
          <w:sz w:val="32"/>
          <w:szCs w:val="32"/>
        </w:rPr>
      </w:pPr>
      <w:r>
        <w:rPr>
          <w:rFonts w:hint="eastAsia" w:ascii="黑体" w:hAnsi="黑体" w:eastAsia="黑体" w:cs="黑体"/>
          <w:b w:val="0"/>
          <w:bCs w:val="0"/>
          <w:color w:val="000000"/>
          <w:sz w:val="32"/>
          <w:szCs w:val="32"/>
        </w:rPr>
        <w:t xml:space="preserve">第十二条  </w:t>
      </w:r>
      <w:r>
        <w:rPr>
          <w:rFonts w:hint="eastAsia" w:ascii="仿宋_GB2312" w:hAnsi="仿宋" w:eastAsia="仿宋_GB2312" w:cs="仿宋_GB2312"/>
          <w:b w:val="0"/>
          <w:bCs w:val="0"/>
          <w:color w:val="000000"/>
          <w:sz w:val="32"/>
          <w:szCs w:val="32"/>
        </w:rPr>
        <w:t>重点目标的管理单位应当履行下列职责：</w:t>
      </w:r>
    </w:p>
    <w:p>
      <w:pPr>
        <w:keepNext w:val="0"/>
        <w:keepLines w:val="0"/>
        <w:pageBreakBefore w:val="0"/>
        <w:widowControl w:val="0"/>
        <w:kinsoku/>
        <w:wordWrap/>
        <w:overflowPunct/>
        <w:topLinePunct w:val="0"/>
        <w:autoSpaceDE/>
        <w:autoSpaceDN/>
        <w:bidi w:val="0"/>
        <w:adjustRightInd/>
        <w:snapToGrid/>
        <w:spacing w:line="240" w:lineRule="auto"/>
        <w:ind w:right="0" w:firstLine="632" w:firstLineChars="200"/>
        <w:textAlignment w:val="auto"/>
        <w:rPr>
          <w:rFonts w:hint="eastAsia" w:ascii="仿宋_GB2312" w:hAnsi="仿宋" w:eastAsia="仿宋_GB2312" w:cs="仿宋_GB2312"/>
          <w:b w:val="0"/>
          <w:bCs w:val="0"/>
          <w:color w:val="000000"/>
          <w:sz w:val="32"/>
          <w:szCs w:val="32"/>
        </w:rPr>
      </w:pPr>
      <w:r>
        <w:rPr>
          <w:rFonts w:hint="eastAsia" w:ascii="仿宋_GB2312" w:hAnsi="仿宋" w:eastAsia="仿宋_GB2312" w:cs="仿宋_GB2312"/>
          <w:b w:val="0"/>
          <w:bCs w:val="0"/>
          <w:color w:val="000000"/>
          <w:sz w:val="32"/>
          <w:szCs w:val="32"/>
        </w:rPr>
        <w:t>（一）制定防范和应对处置恐怖活动预案及出入登记、值班、巡逻、守卫检查等防范措施，并建立工作档案；定期组织反恐怖主义培训和演练。</w:t>
      </w:r>
    </w:p>
    <w:p>
      <w:pPr>
        <w:keepNext w:val="0"/>
        <w:keepLines w:val="0"/>
        <w:pageBreakBefore w:val="0"/>
        <w:widowControl w:val="0"/>
        <w:kinsoku/>
        <w:wordWrap/>
        <w:overflowPunct/>
        <w:topLinePunct w:val="0"/>
        <w:autoSpaceDE/>
        <w:autoSpaceDN/>
        <w:bidi w:val="0"/>
        <w:adjustRightInd/>
        <w:snapToGrid/>
        <w:spacing w:line="240" w:lineRule="auto"/>
        <w:ind w:right="0" w:firstLine="632" w:firstLineChars="200"/>
        <w:textAlignment w:val="auto"/>
        <w:rPr>
          <w:rFonts w:hint="eastAsia" w:ascii="仿宋_GB2312" w:hAnsi="仿宋" w:eastAsia="仿宋_GB2312" w:cs="仿宋_GB2312"/>
          <w:b w:val="0"/>
          <w:bCs w:val="0"/>
          <w:color w:val="000000"/>
          <w:sz w:val="32"/>
          <w:szCs w:val="32"/>
          <w:bdr w:val="single" w:color="auto" w:sz="4" w:space="0"/>
          <w:shd w:val="pct10" w:color="auto" w:fill="FFFFFF"/>
        </w:rPr>
      </w:pPr>
      <w:r>
        <w:rPr>
          <w:rFonts w:hint="eastAsia" w:ascii="仿宋_GB2312" w:hAnsi="仿宋" w:eastAsia="仿宋_GB2312" w:cs="仿宋_GB2312"/>
          <w:b w:val="0"/>
          <w:bCs w:val="0"/>
          <w:color w:val="000000"/>
          <w:sz w:val="32"/>
          <w:szCs w:val="32"/>
        </w:rPr>
        <w:t>（二）设立反恐怖主义工作专项经费，根据要求配备、更新身份识别、紧急报警、隔离防撞、安检防爆、无人机防御等防范和处置设备、设施。</w:t>
      </w:r>
    </w:p>
    <w:p>
      <w:pPr>
        <w:keepNext w:val="0"/>
        <w:keepLines w:val="0"/>
        <w:pageBreakBefore w:val="0"/>
        <w:widowControl w:val="0"/>
        <w:kinsoku/>
        <w:wordWrap/>
        <w:overflowPunct/>
        <w:topLinePunct w:val="0"/>
        <w:autoSpaceDE/>
        <w:autoSpaceDN/>
        <w:bidi w:val="0"/>
        <w:adjustRightInd/>
        <w:snapToGrid/>
        <w:spacing w:line="240" w:lineRule="auto"/>
        <w:ind w:right="0" w:firstLine="632" w:firstLineChars="200"/>
        <w:textAlignment w:val="auto"/>
        <w:rPr>
          <w:rFonts w:hint="eastAsia" w:ascii="仿宋_GB2312" w:hAnsi="仿宋" w:eastAsia="仿宋_GB2312" w:cs="仿宋_GB2312"/>
          <w:b w:val="0"/>
          <w:bCs w:val="0"/>
          <w:color w:val="000000"/>
          <w:sz w:val="32"/>
          <w:szCs w:val="32"/>
        </w:rPr>
      </w:pPr>
      <w:r>
        <w:rPr>
          <w:rFonts w:hint="eastAsia" w:ascii="仿宋_GB2312" w:hAnsi="仿宋" w:eastAsia="仿宋_GB2312" w:cs="仿宋_GB2312"/>
          <w:b w:val="0"/>
          <w:bCs w:val="0"/>
          <w:color w:val="000000"/>
          <w:sz w:val="32"/>
          <w:szCs w:val="32"/>
        </w:rPr>
        <w:t>（三）指定相关机构或者责任人员负责反恐怖主义工作，落实反恐怖主义工作责任制，明确岗位职责。</w:t>
      </w:r>
    </w:p>
    <w:p>
      <w:pPr>
        <w:keepNext w:val="0"/>
        <w:keepLines w:val="0"/>
        <w:pageBreakBefore w:val="0"/>
        <w:widowControl w:val="0"/>
        <w:kinsoku/>
        <w:wordWrap/>
        <w:overflowPunct/>
        <w:topLinePunct w:val="0"/>
        <w:autoSpaceDE/>
        <w:autoSpaceDN/>
        <w:bidi w:val="0"/>
        <w:adjustRightInd/>
        <w:snapToGrid/>
        <w:spacing w:line="240" w:lineRule="auto"/>
        <w:ind w:right="0" w:firstLine="632" w:firstLineChars="200"/>
        <w:textAlignment w:val="auto"/>
        <w:rPr>
          <w:rFonts w:hint="eastAsia" w:ascii="仿宋_GB2312" w:hAnsi="仿宋" w:eastAsia="仿宋_GB2312" w:cs="仿宋_GB2312"/>
          <w:b w:val="0"/>
          <w:bCs w:val="0"/>
          <w:color w:val="000000"/>
          <w:sz w:val="32"/>
          <w:szCs w:val="32"/>
        </w:rPr>
      </w:pPr>
      <w:r>
        <w:rPr>
          <w:rFonts w:hint="eastAsia" w:ascii="仿宋_GB2312" w:hAnsi="仿宋" w:eastAsia="仿宋_GB2312" w:cs="仿宋_GB2312"/>
          <w:b w:val="0"/>
          <w:bCs w:val="0"/>
          <w:color w:val="000000"/>
          <w:sz w:val="32"/>
          <w:szCs w:val="32"/>
        </w:rPr>
        <w:t>（四）实行风险评估，实时监测安全威胁，完善内部安全管理机制。高风险情况下，应当启动应急响应机制，提升安全防范等级。</w:t>
      </w:r>
    </w:p>
    <w:p>
      <w:pPr>
        <w:keepNext w:val="0"/>
        <w:keepLines w:val="0"/>
        <w:pageBreakBefore w:val="0"/>
        <w:widowControl w:val="0"/>
        <w:kinsoku/>
        <w:wordWrap/>
        <w:overflowPunct/>
        <w:topLinePunct w:val="0"/>
        <w:autoSpaceDE/>
        <w:autoSpaceDN/>
        <w:bidi w:val="0"/>
        <w:adjustRightInd/>
        <w:snapToGrid/>
        <w:spacing w:line="240" w:lineRule="auto"/>
        <w:ind w:right="0" w:firstLine="632" w:firstLineChars="200"/>
        <w:textAlignment w:val="auto"/>
        <w:rPr>
          <w:rFonts w:hint="eastAsia" w:ascii="仿宋_GB2312" w:hAnsi="仿宋" w:eastAsia="仿宋_GB2312" w:cs="仿宋_GB2312"/>
          <w:b w:val="0"/>
          <w:bCs w:val="0"/>
          <w:color w:val="000000"/>
          <w:sz w:val="32"/>
          <w:szCs w:val="32"/>
        </w:rPr>
      </w:pPr>
      <w:r>
        <w:rPr>
          <w:rFonts w:hint="eastAsia" w:ascii="仿宋_GB2312" w:hAnsi="仿宋" w:eastAsia="仿宋_GB2312" w:cs="仿宋_GB2312"/>
          <w:b w:val="0"/>
          <w:bCs w:val="0"/>
          <w:color w:val="000000"/>
          <w:sz w:val="32"/>
          <w:szCs w:val="32"/>
        </w:rPr>
        <w:t>（五）每六个月向公安机关和有关部门报告防范措施落实情况。责任人员、机构设立变更和重大基础设施改造等情况应当及时向公安机关报告。</w:t>
      </w:r>
    </w:p>
    <w:p>
      <w:pPr>
        <w:keepNext w:val="0"/>
        <w:keepLines w:val="0"/>
        <w:pageBreakBefore w:val="0"/>
        <w:widowControl w:val="0"/>
        <w:kinsoku/>
        <w:wordWrap/>
        <w:overflowPunct/>
        <w:topLinePunct w:val="0"/>
        <w:autoSpaceDE/>
        <w:autoSpaceDN/>
        <w:bidi w:val="0"/>
        <w:adjustRightInd/>
        <w:snapToGrid/>
        <w:spacing w:line="240" w:lineRule="auto"/>
        <w:ind w:right="0" w:firstLine="632" w:firstLineChars="200"/>
        <w:textAlignment w:val="auto"/>
        <w:rPr>
          <w:rFonts w:hint="eastAsia" w:ascii="仿宋_GB2312" w:hAnsi="仿宋" w:eastAsia="仿宋_GB2312" w:cs="黑体"/>
          <w:b w:val="0"/>
          <w:bCs w:val="0"/>
          <w:color w:val="000000"/>
          <w:sz w:val="32"/>
          <w:szCs w:val="32"/>
          <w:bdr w:val="single" w:color="auto" w:sz="4" w:space="0"/>
          <w:shd w:val="pct10" w:color="auto" w:fill="FFFFFF"/>
        </w:rPr>
      </w:pPr>
      <w:r>
        <w:rPr>
          <w:rFonts w:hint="eastAsia" w:ascii="仿宋_GB2312" w:hAnsi="仿宋" w:eastAsia="仿宋_GB2312" w:cs="仿宋_GB2312"/>
          <w:b w:val="0"/>
          <w:bCs w:val="0"/>
          <w:color w:val="000000"/>
          <w:sz w:val="32"/>
          <w:szCs w:val="32"/>
        </w:rPr>
        <w:t>（六）法律、法规规定的其他职责。</w:t>
      </w:r>
    </w:p>
    <w:p>
      <w:pPr>
        <w:keepNext w:val="0"/>
        <w:keepLines w:val="0"/>
        <w:pageBreakBefore w:val="0"/>
        <w:widowControl w:val="0"/>
        <w:kinsoku/>
        <w:wordWrap/>
        <w:overflowPunct/>
        <w:topLinePunct w:val="0"/>
        <w:autoSpaceDE/>
        <w:autoSpaceDN/>
        <w:bidi w:val="0"/>
        <w:adjustRightInd/>
        <w:snapToGrid/>
        <w:spacing w:line="240" w:lineRule="auto"/>
        <w:ind w:right="0" w:firstLine="632" w:firstLineChars="200"/>
        <w:textAlignment w:val="auto"/>
        <w:rPr>
          <w:rFonts w:hint="eastAsia" w:ascii="仿宋_GB2312" w:hAnsi="仿宋" w:eastAsia="仿宋_GB2312" w:cs="仿宋"/>
          <w:b w:val="0"/>
          <w:bCs w:val="0"/>
          <w:color w:val="000000"/>
          <w:sz w:val="32"/>
          <w:szCs w:val="32"/>
        </w:rPr>
      </w:pPr>
      <w:r>
        <w:rPr>
          <w:rFonts w:hint="eastAsia" w:ascii="黑体" w:hAnsi="黑体" w:eastAsia="黑体" w:cs="黑体"/>
          <w:b w:val="0"/>
          <w:bCs w:val="0"/>
          <w:color w:val="000000"/>
          <w:sz w:val="32"/>
          <w:szCs w:val="32"/>
        </w:rPr>
        <w:t xml:space="preserve">第十三条  </w:t>
      </w:r>
      <w:r>
        <w:rPr>
          <w:rFonts w:hint="eastAsia" w:ascii="仿宋_GB2312" w:hAnsi="仿宋" w:eastAsia="仿宋_GB2312" w:cs="仿宋"/>
          <w:b w:val="0"/>
          <w:bCs w:val="0"/>
          <w:color w:val="000000"/>
          <w:sz w:val="32"/>
          <w:szCs w:val="32"/>
        </w:rPr>
        <w:t>对重点目标以外涉及公共安全的其他单位、场所、活动、设施，其主管部门和管理单位应当建立健全反恐怖主义安全制度，落实安全防范责任，按照有关反恐怖主义安全规范、标准采取必要的防范措施，定期开展培训、巡查等工作，确保安全防范全覆盖。</w:t>
      </w:r>
    </w:p>
    <w:p>
      <w:pPr>
        <w:keepNext w:val="0"/>
        <w:keepLines w:val="0"/>
        <w:pageBreakBefore w:val="0"/>
        <w:widowControl w:val="0"/>
        <w:kinsoku/>
        <w:wordWrap/>
        <w:overflowPunct/>
        <w:topLinePunct w:val="0"/>
        <w:autoSpaceDE/>
        <w:autoSpaceDN/>
        <w:bidi w:val="0"/>
        <w:adjustRightInd/>
        <w:snapToGrid/>
        <w:spacing w:line="240" w:lineRule="auto"/>
        <w:ind w:right="0" w:firstLine="632" w:firstLineChars="200"/>
        <w:textAlignment w:val="auto"/>
        <w:rPr>
          <w:rFonts w:hint="eastAsia" w:ascii="仿宋_GB2312" w:hAnsi="仿宋" w:eastAsia="仿宋_GB2312" w:cs="仿宋"/>
          <w:b w:val="0"/>
          <w:bCs w:val="0"/>
          <w:color w:val="000000"/>
          <w:sz w:val="32"/>
          <w:szCs w:val="32"/>
        </w:rPr>
      </w:pPr>
      <w:r>
        <w:rPr>
          <w:rFonts w:hint="eastAsia" w:ascii="黑体" w:hAnsi="黑体" w:eastAsia="黑体" w:cs="黑体"/>
          <w:b w:val="0"/>
          <w:bCs w:val="0"/>
          <w:color w:val="000000"/>
          <w:sz w:val="32"/>
          <w:szCs w:val="32"/>
        </w:rPr>
        <w:t xml:space="preserve">第十四条  </w:t>
      </w:r>
      <w:r>
        <w:rPr>
          <w:rFonts w:hint="eastAsia" w:ascii="仿宋_GB2312" w:hAnsi="仿宋" w:eastAsia="仿宋_GB2312" w:cs="仿宋"/>
          <w:b w:val="0"/>
          <w:bCs w:val="0"/>
          <w:color w:val="000000"/>
          <w:sz w:val="32"/>
          <w:szCs w:val="32"/>
        </w:rPr>
        <w:t>在人员密集的广场、学校、医院，县级以上人民政府应当组织配备公共安全视频图像系统、隔离防撞设施等防范恐怖袭击的设备、设施；公安机关应当通过布设快警平台、开展重点时段巡逻防控等方式，提高突发事件快速处置能力，防范恐怖事件发生。</w:t>
      </w:r>
    </w:p>
    <w:p>
      <w:pPr>
        <w:keepNext w:val="0"/>
        <w:keepLines w:val="0"/>
        <w:pageBreakBefore w:val="0"/>
        <w:widowControl w:val="0"/>
        <w:kinsoku/>
        <w:wordWrap/>
        <w:overflowPunct/>
        <w:topLinePunct w:val="0"/>
        <w:autoSpaceDE/>
        <w:autoSpaceDN/>
        <w:bidi w:val="0"/>
        <w:adjustRightInd/>
        <w:snapToGrid/>
        <w:spacing w:line="240" w:lineRule="auto"/>
        <w:ind w:right="0" w:firstLine="632" w:firstLineChars="200"/>
        <w:textAlignment w:val="auto"/>
        <w:rPr>
          <w:rFonts w:hint="eastAsia" w:ascii="仿宋_GB2312" w:hAnsi="楷体" w:eastAsia="仿宋_GB2312" w:cs="仿宋"/>
          <w:b w:val="0"/>
          <w:bCs w:val="0"/>
          <w:color w:val="000000"/>
          <w:sz w:val="32"/>
          <w:szCs w:val="32"/>
        </w:rPr>
      </w:pPr>
      <w:r>
        <w:rPr>
          <w:rFonts w:hint="eastAsia" w:ascii="黑体" w:hAnsi="黑体" w:eastAsia="黑体" w:cs="黑体"/>
          <w:b w:val="0"/>
          <w:bCs w:val="0"/>
          <w:color w:val="000000"/>
          <w:sz w:val="32"/>
          <w:szCs w:val="32"/>
        </w:rPr>
        <w:t xml:space="preserve">第十五条  </w:t>
      </w:r>
      <w:r>
        <w:rPr>
          <w:rFonts w:hint="eastAsia" w:ascii="仿宋_GB2312" w:hAnsi="仿宋" w:eastAsia="仿宋_GB2312" w:cs="仿宋"/>
          <w:b w:val="0"/>
          <w:bCs w:val="0"/>
          <w:color w:val="000000"/>
          <w:sz w:val="32"/>
          <w:szCs w:val="32"/>
        </w:rPr>
        <w:t>铁路、公路、水上、航空的货运和邮政、快递等物流运营单位应当实行安全查验制度，履行下列职责：</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right="0" w:firstLine="632" w:firstLineChars="200"/>
        <w:textAlignment w:val="auto"/>
        <w:rPr>
          <w:rFonts w:hint="eastAsia" w:ascii="仿宋_GB2312" w:hAnsi="仿宋" w:eastAsia="仿宋_GB2312" w:cs="仿宋"/>
          <w:b w:val="0"/>
          <w:bCs w:val="0"/>
          <w:color w:val="000000"/>
          <w:sz w:val="32"/>
          <w:szCs w:val="32"/>
        </w:rPr>
      </w:pPr>
      <w:r>
        <w:rPr>
          <w:rFonts w:hint="eastAsia" w:ascii="仿宋_GB2312" w:hAnsi="仿宋" w:eastAsia="仿宋_GB2312" w:cs="仿宋"/>
          <w:b w:val="0"/>
          <w:bCs w:val="0"/>
          <w:color w:val="000000"/>
          <w:sz w:val="32"/>
          <w:szCs w:val="32"/>
        </w:rPr>
        <w:t>配备安全检查员，并依照规定配备符合国家标准或者行业标准的安全检查设备；</w:t>
      </w:r>
    </w:p>
    <w:p>
      <w:pPr>
        <w:keepNext w:val="0"/>
        <w:keepLines w:val="0"/>
        <w:pageBreakBefore w:val="0"/>
        <w:widowControl w:val="0"/>
        <w:kinsoku/>
        <w:wordWrap/>
        <w:overflowPunct/>
        <w:topLinePunct w:val="0"/>
        <w:autoSpaceDE/>
        <w:autoSpaceDN/>
        <w:bidi w:val="0"/>
        <w:adjustRightInd/>
        <w:snapToGrid/>
        <w:spacing w:line="240" w:lineRule="auto"/>
        <w:ind w:right="0" w:firstLine="632" w:firstLineChars="200"/>
        <w:textAlignment w:val="auto"/>
        <w:rPr>
          <w:rFonts w:hint="eastAsia" w:ascii="仿宋_GB2312" w:hAnsi="仿宋" w:eastAsia="仿宋_GB2312" w:cs="仿宋"/>
          <w:b w:val="0"/>
          <w:bCs w:val="0"/>
          <w:color w:val="000000"/>
          <w:sz w:val="32"/>
          <w:szCs w:val="32"/>
        </w:rPr>
      </w:pPr>
      <w:r>
        <w:rPr>
          <w:rFonts w:hint="eastAsia" w:ascii="仿宋_GB2312" w:hAnsi="仿宋" w:eastAsia="仿宋_GB2312" w:cs="仿宋"/>
          <w:b w:val="0"/>
          <w:bCs w:val="0"/>
          <w:color w:val="000000"/>
          <w:sz w:val="32"/>
          <w:szCs w:val="32"/>
        </w:rPr>
        <w:t>（二）在业务操作场所建立视频图像监控和存储系统，对运输、寄递物品进行安全检查或者开封验视，收寄区域视频保存期限不少于三个月；</w:t>
      </w:r>
    </w:p>
    <w:p>
      <w:pPr>
        <w:keepNext w:val="0"/>
        <w:keepLines w:val="0"/>
        <w:pageBreakBefore w:val="0"/>
        <w:widowControl w:val="0"/>
        <w:kinsoku/>
        <w:wordWrap/>
        <w:overflowPunct/>
        <w:topLinePunct w:val="0"/>
        <w:autoSpaceDE/>
        <w:autoSpaceDN/>
        <w:bidi w:val="0"/>
        <w:adjustRightInd/>
        <w:snapToGrid/>
        <w:spacing w:line="240" w:lineRule="auto"/>
        <w:ind w:right="0" w:firstLine="632" w:firstLineChars="200"/>
        <w:textAlignment w:val="auto"/>
        <w:rPr>
          <w:rFonts w:hint="eastAsia" w:ascii="仿宋_GB2312" w:hAnsi="仿宋" w:eastAsia="仿宋_GB2312" w:cs="仿宋"/>
          <w:b w:val="0"/>
          <w:bCs w:val="0"/>
          <w:color w:val="000000"/>
          <w:sz w:val="32"/>
          <w:szCs w:val="32"/>
        </w:rPr>
      </w:pPr>
      <w:r>
        <w:rPr>
          <w:rFonts w:hint="eastAsia" w:ascii="仿宋_GB2312" w:hAnsi="仿宋" w:eastAsia="仿宋_GB2312" w:cs="仿宋"/>
          <w:b w:val="0"/>
          <w:bCs w:val="0"/>
          <w:color w:val="000000"/>
          <w:sz w:val="32"/>
          <w:szCs w:val="32"/>
        </w:rPr>
        <w:t>（三）对运输、寄递的客户身份、物品等进行查验并登记，登记信息的保存期限不少于十二个月；</w:t>
      </w:r>
    </w:p>
    <w:p>
      <w:pPr>
        <w:keepNext w:val="0"/>
        <w:keepLines w:val="0"/>
        <w:pageBreakBefore w:val="0"/>
        <w:widowControl w:val="0"/>
        <w:kinsoku/>
        <w:wordWrap/>
        <w:overflowPunct/>
        <w:topLinePunct w:val="0"/>
        <w:autoSpaceDE/>
        <w:autoSpaceDN/>
        <w:bidi w:val="0"/>
        <w:adjustRightInd/>
        <w:snapToGrid/>
        <w:spacing w:line="240" w:lineRule="auto"/>
        <w:ind w:right="0" w:firstLine="632" w:firstLineChars="200"/>
        <w:textAlignment w:val="auto"/>
        <w:rPr>
          <w:rFonts w:hint="eastAsia" w:ascii="仿宋_GB2312" w:hAnsi="仿宋" w:eastAsia="仿宋_GB2312" w:cs="仿宋"/>
          <w:b w:val="0"/>
          <w:bCs w:val="0"/>
          <w:color w:val="000000"/>
          <w:sz w:val="32"/>
          <w:szCs w:val="32"/>
        </w:rPr>
      </w:pPr>
      <w:r>
        <w:rPr>
          <w:rFonts w:hint="eastAsia" w:ascii="仿宋_GB2312" w:hAnsi="仿宋" w:eastAsia="仿宋_GB2312" w:cs="仿宋"/>
          <w:b w:val="0"/>
          <w:bCs w:val="0"/>
          <w:color w:val="000000"/>
          <w:sz w:val="32"/>
          <w:szCs w:val="32"/>
        </w:rPr>
        <w:t>（四）发现禁止运输、寄递的物品，应当按照规定予以拒收、封存或者隔离，并及时向公安机关和有关部门报告。</w:t>
      </w:r>
    </w:p>
    <w:p>
      <w:pPr>
        <w:keepNext w:val="0"/>
        <w:keepLines w:val="0"/>
        <w:pageBreakBefore w:val="0"/>
        <w:widowControl w:val="0"/>
        <w:kinsoku/>
        <w:wordWrap/>
        <w:overflowPunct/>
        <w:topLinePunct w:val="0"/>
        <w:autoSpaceDE/>
        <w:autoSpaceDN/>
        <w:bidi w:val="0"/>
        <w:adjustRightInd/>
        <w:snapToGrid/>
        <w:spacing w:line="240" w:lineRule="auto"/>
        <w:ind w:right="0" w:firstLine="632" w:firstLineChars="200"/>
        <w:textAlignment w:val="auto"/>
        <w:rPr>
          <w:rFonts w:hint="eastAsia" w:ascii="仿宋_GB2312" w:hAnsi="仿宋" w:eastAsia="仿宋_GB2312" w:cs="仿宋"/>
          <w:b w:val="0"/>
          <w:bCs w:val="0"/>
          <w:color w:val="000000"/>
          <w:sz w:val="32"/>
          <w:szCs w:val="32"/>
        </w:rPr>
      </w:pPr>
      <w:r>
        <w:rPr>
          <w:rFonts w:hint="eastAsia" w:ascii="黑体" w:hAnsi="黑体" w:eastAsia="黑体" w:cs="黑体"/>
          <w:b w:val="0"/>
          <w:bCs w:val="0"/>
          <w:color w:val="000000"/>
          <w:sz w:val="32"/>
          <w:szCs w:val="32"/>
        </w:rPr>
        <w:t xml:space="preserve">第十六条  </w:t>
      </w:r>
      <w:r>
        <w:rPr>
          <w:rFonts w:hint="eastAsia" w:ascii="仿宋_GB2312" w:hAnsi="仿宋" w:eastAsia="仿宋_GB2312" w:cs="仿宋"/>
          <w:b w:val="0"/>
          <w:bCs w:val="0"/>
          <w:color w:val="000000"/>
          <w:sz w:val="32"/>
          <w:szCs w:val="32"/>
        </w:rPr>
        <w:t>旅馆业经营者、服务提供者应当通过主管部门信息管理系统如实登记旅客姓名、证件类别和号码、开房退房时间等信息。</w:t>
      </w:r>
    </w:p>
    <w:p>
      <w:pPr>
        <w:keepNext w:val="0"/>
        <w:keepLines w:val="0"/>
        <w:pageBreakBefore w:val="0"/>
        <w:widowControl w:val="0"/>
        <w:kinsoku/>
        <w:wordWrap/>
        <w:overflowPunct/>
        <w:topLinePunct w:val="0"/>
        <w:autoSpaceDE/>
        <w:autoSpaceDN/>
        <w:bidi w:val="0"/>
        <w:adjustRightInd/>
        <w:snapToGrid/>
        <w:spacing w:line="240" w:lineRule="auto"/>
        <w:ind w:right="0" w:firstLine="632" w:firstLineChars="200"/>
        <w:textAlignment w:val="auto"/>
        <w:rPr>
          <w:rFonts w:hint="eastAsia" w:ascii="仿宋_GB2312" w:hAnsi="楷体" w:eastAsia="仿宋_GB2312" w:cs="仿宋"/>
          <w:b w:val="0"/>
          <w:bCs w:val="0"/>
          <w:color w:val="000000"/>
          <w:sz w:val="32"/>
          <w:szCs w:val="32"/>
        </w:rPr>
      </w:pPr>
      <w:r>
        <w:rPr>
          <w:rFonts w:hint="eastAsia" w:ascii="仿宋_GB2312" w:hAnsi="仿宋" w:eastAsia="仿宋_GB2312" w:cs="仿宋"/>
          <w:b w:val="0"/>
          <w:bCs w:val="0"/>
          <w:color w:val="000000"/>
          <w:sz w:val="32"/>
          <w:szCs w:val="32"/>
        </w:rPr>
        <w:t>互联网住宿经营者、服务提供者应当对房源信息包括住宿房屋基本情况、房屋所有权人身份信息和通信方式进行登记。</w:t>
      </w:r>
    </w:p>
    <w:p>
      <w:pPr>
        <w:keepNext w:val="0"/>
        <w:keepLines w:val="0"/>
        <w:pageBreakBefore w:val="0"/>
        <w:widowControl w:val="0"/>
        <w:kinsoku/>
        <w:wordWrap/>
        <w:overflowPunct/>
        <w:topLinePunct w:val="0"/>
        <w:autoSpaceDE/>
        <w:autoSpaceDN/>
        <w:bidi w:val="0"/>
        <w:adjustRightInd/>
        <w:snapToGrid/>
        <w:spacing w:line="240" w:lineRule="auto"/>
        <w:ind w:right="0" w:firstLine="632" w:firstLineChars="200"/>
        <w:textAlignment w:val="auto"/>
        <w:rPr>
          <w:rFonts w:hint="eastAsia" w:ascii="仿宋_GB2312" w:hAnsi="仿宋" w:eastAsia="仿宋_GB2312" w:cs="仿宋"/>
          <w:b w:val="0"/>
          <w:bCs w:val="0"/>
          <w:color w:val="000000"/>
          <w:sz w:val="32"/>
          <w:szCs w:val="32"/>
          <w:bdr w:val="single" w:color="auto" w:sz="4" w:space="0"/>
          <w:shd w:val="pct10" w:color="auto" w:fill="FFFFFF"/>
        </w:rPr>
      </w:pPr>
      <w:r>
        <w:rPr>
          <w:rFonts w:hint="eastAsia" w:ascii="仿宋_GB2312" w:hAnsi="仿宋" w:eastAsia="仿宋_GB2312" w:cs="仿宋"/>
          <w:b w:val="0"/>
          <w:bCs w:val="0"/>
          <w:color w:val="000000"/>
          <w:sz w:val="32"/>
          <w:szCs w:val="32"/>
        </w:rPr>
        <w:t>房屋出租人应当如实登记承租人身份信息和通信方式，并在房屋出租后的三个工作日内将登记信息报辖区公安派出所或者村（居）民委员会</w:t>
      </w:r>
      <w:r>
        <w:rPr>
          <w:rFonts w:hint="eastAsia" w:ascii="仿宋_GB2312" w:hAnsi="黑体" w:eastAsia="仿宋_GB2312" w:cs="仿宋"/>
          <w:b w:val="0"/>
          <w:bCs w:val="0"/>
          <w:color w:val="000000"/>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right="0" w:firstLine="632" w:firstLineChars="200"/>
        <w:textAlignment w:val="auto"/>
        <w:rPr>
          <w:rFonts w:hint="eastAsia" w:ascii="仿宋_GB2312" w:hAnsi="楷体" w:eastAsia="仿宋_GB2312" w:cs="仿宋"/>
          <w:b w:val="0"/>
          <w:bCs w:val="0"/>
          <w:color w:val="000000"/>
          <w:sz w:val="32"/>
          <w:szCs w:val="32"/>
        </w:rPr>
      </w:pPr>
      <w:r>
        <w:rPr>
          <w:rFonts w:hint="eastAsia" w:ascii="黑体" w:hAnsi="黑体" w:eastAsia="黑体" w:cs="黑体"/>
          <w:b w:val="0"/>
          <w:bCs w:val="0"/>
          <w:color w:val="000000"/>
          <w:sz w:val="32"/>
          <w:szCs w:val="32"/>
        </w:rPr>
        <w:t xml:space="preserve">第十七条  </w:t>
      </w:r>
      <w:r>
        <w:rPr>
          <w:rFonts w:hint="eastAsia" w:ascii="仿宋_GB2312" w:hAnsi="仿宋" w:eastAsia="仿宋_GB2312" w:cs="仿宋"/>
          <w:b w:val="0"/>
          <w:bCs w:val="0"/>
          <w:color w:val="000000"/>
          <w:sz w:val="32"/>
          <w:szCs w:val="32"/>
        </w:rPr>
        <w:t>共享汽车等机动车租赁经营者、服务提供者应当对客户的身份进行查验，如实登记租车人身份信息、通信方式、车辆信息、租赁时间等。对身份不明或者拒绝身份查验的，不得提供服务。</w:t>
      </w:r>
    </w:p>
    <w:p>
      <w:pPr>
        <w:keepNext w:val="0"/>
        <w:keepLines w:val="0"/>
        <w:pageBreakBefore w:val="0"/>
        <w:widowControl w:val="0"/>
        <w:kinsoku/>
        <w:wordWrap/>
        <w:overflowPunct/>
        <w:topLinePunct w:val="0"/>
        <w:autoSpaceDE/>
        <w:autoSpaceDN/>
        <w:bidi w:val="0"/>
        <w:adjustRightInd/>
        <w:snapToGrid/>
        <w:spacing w:line="240" w:lineRule="auto"/>
        <w:ind w:right="0" w:firstLine="632" w:firstLineChars="200"/>
        <w:textAlignment w:val="auto"/>
        <w:rPr>
          <w:rFonts w:hint="eastAsia" w:ascii="仿宋_GB2312" w:hAnsi="楷体" w:eastAsia="仿宋_GB2312" w:cs="仿宋"/>
          <w:b w:val="0"/>
          <w:bCs w:val="0"/>
          <w:color w:val="000000"/>
          <w:sz w:val="32"/>
          <w:szCs w:val="32"/>
        </w:rPr>
      </w:pPr>
      <w:r>
        <w:rPr>
          <w:rFonts w:hint="eastAsia" w:ascii="仿宋_GB2312" w:hAnsi="仿宋" w:eastAsia="仿宋_GB2312" w:cs="仿宋"/>
          <w:b w:val="0"/>
          <w:bCs w:val="0"/>
          <w:color w:val="000000"/>
          <w:sz w:val="32"/>
          <w:szCs w:val="32"/>
        </w:rPr>
        <w:t>网络预约出租车经营者、服务提供者应当配合交通运输部门和公安机关对网络预约出租车驾驶人员进行背景核查、资格认定和安全监管工作。</w:t>
      </w:r>
    </w:p>
    <w:p>
      <w:pPr>
        <w:keepNext w:val="0"/>
        <w:keepLines w:val="0"/>
        <w:pageBreakBefore w:val="0"/>
        <w:widowControl w:val="0"/>
        <w:kinsoku/>
        <w:wordWrap/>
        <w:overflowPunct/>
        <w:topLinePunct w:val="0"/>
        <w:autoSpaceDE/>
        <w:autoSpaceDN/>
        <w:bidi w:val="0"/>
        <w:adjustRightInd/>
        <w:snapToGrid/>
        <w:spacing w:line="240" w:lineRule="auto"/>
        <w:ind w:right="0" w:firstLine="632" w:firstLineChars="200"/>
        <w:textAlignment w:val="auto"/>
        <w:rPr>
          <w:rFonts w:hint="eastAsia" w:ascii="仿宋_GB2312" w:hAnsi="仿宋" w:eastAsia="仿宋_GB2312" w:cs="黑体"/>
          <w:b w:val="0"/>
          <w:bCs w:val="0"/>
          <w:color w:val="000000"/>
          <w:sz w:val="32"/>
          <w:szCs w:val="32"/>
        </w:rPr>
      </w:pPr>
      <w:r>
        <w:rPr>
          <w:rFonts w:hint="eastAsia" w:ascii="仿宋_GB2312" w:hAnsi="仿宋" w:eastAsia="仿宋_GB2312" w:cs="仿宋"/>
          <w:b w:val="0"/>
          <w:bCs w:val="0"/>
          <w:color w:val="000000"/>
          <w:sz w:val="32"/>
          <w:szCs w:val="32"/>
        </w:rPr>
        <w:t>共享汽车、网络预约出租车经营者、服务提供者的网络服务平台的数据库应当接入主管部门监管平台，相关信息的保存期限不少于二年。</w:t>
      </w:r>
    </w:p>
    <w:p>
      <w:pPr>
        <w:keepNext w:val="0"/>
        <w:keepLines w:val="0"/>
        <w:pageBreakBefore w:val="0"/>
        <w:widowControl w:val="0"/>
        <w:kinsoku/>
        <w:wordWrap/>
        <w:overflowPunct/>
        <w:topLinePunct w:val="0"/>
        <w:autoSpaceDE/>
        <w:autoSpaceDN/>
        <w:bidi w:val="0"/>
        <w:adjustRightInd/>
        <w:snapToGrid/>
        <w:spacing w:line="240" w:lineRule="auto"/>
        <w:ind w:right="0" w:firstLine="632" w:firstLineChars="200"/>
        <w:textAlignment w:val="auto"/>
        <w:rPr>
          <w:rFonts w:hint="eastAsia" w:ascii="仿宋_GB2312" w:hAnsi="仿宋" w:eastAsia="仿宋_GB2312" w:cs="黑体"/>
          <w:b w:val="0"/>
          <w:bCs w:val="0"/>
          <w:color w:val="000000"/>
          <w:sz w:val="32"/>
          <w:szCs w:val="32"/>
        </w:rPr>
      </w:pPr>
      <w:r>
        <w:rPr>
          <w:rFonts w:hint="eastAsia" w:ascii="黑体" w:hAnsi="黑体" w:eastAsia="黑体" w:cs="黑体"/>
          <w:b w:val="0"/>
          <w:bCs w:val="0"/>
          <w:color w:val="000000"/>
          <w:sz w:val="32"/>
          <w:szCs w:val="32"/>
        </w:rPr>
        <w:t xml:space="preserve">第十八条  </w:t>
      </w:r>
      <w:r>
        <w:rPr>
          <w:rFonts w:hint="eastAsia" w:ascii="仿宋_GB2312" w:hAnsi="仿宋" w:eastAsia="仿宋_GB2312" w:cs="黑体"/>
          <w:b w:val="0"/>
          <w:bCs w:val="0"/>
          <w:color w:val="000000"/>
          <w:sz w:val="32"/>
          <w:szCs w:val="32"/>
        </w:rPr>
        <w:t>二手车交易经营者、服务提供者应当对交易双方当事人身份进行查验，依照规定将交易双方当事人身份信息和通信方式、交易车辆信息、交易时间等录入主管部门信息管理系统。二手车网上交易平台、信息发布平台相关信息的保存期限不少于六个月。对身份不明或者拒绝身份查验的，不得提供服务。</w:t>
      </w:r>
    </w:p>
    <w:p>
      <w:pPr>
        <w:keepNext w:val="0"/>
        <w:keepLines w:val="0"/>
        <w:pageBreakBefore w:val="0"/>
        <w:widowControl w:val="0"/>
        <w:kinsoku/>
        <w:wordWrap/>
        <w:overflowPunct/>
        <w:topLinePunct w:val="0"/>
        <w:autoSpaceDE/>
        <w:autoSpaceDN/>
        <w:bidi w:val="0"/>
        <w:adjustRightInd/>
        <w:snapToGrid/>
        <w:spacing w:line="240" w:lineRule="auto"/>
        <w:ind w:right="0" w:firstLine="632" w:firstLineChars="200"/>
        <w:textAlignment w:val="auto"/>
        <w:rPr>
          <w:rFonts w:hint="eastAsia" w:ascii="仿宋_GB2312" w:hAnsi="楷体" w:eastAsia="仿宋_GB2312" w:cs="仿宋"/>
          <w:b w:val="0"/>
          <w:bCs w:val="0"/>
          <w:color w:val="000000"/>
          <w:sz w:val="32"/>
          <w:szCs w:val="32"/>
        </w:rPr>
      </w:pPr>
      <w:r>
        <w:rPr>
          <w:rFonts w:hint="eastAsia" w:ascii="黑体" w:hAnsi="黑体" w:eastAsia="黑体" w:cs="黑体"/>
          <w:b w:val="0"/>
          <w:bCs w:val="0"/>
          <w:color w:val="000000"/>
          <w:sz w:val="32"/>
          <w:szCs w:val="32"/>
        </w:rPr>
        <w:t xml:space="preserve">第十九条  </w:t>
      </w:r>
      <w:r>
        <w:rPr>
          <w:rFonts w:hint="eastAsia" w:ascii="仿宋_GB2312" w:hAnsi="仿宋" w:eastAsia="仿宋_GB2312" w:cs="仿宋"/>
          <w:b w:val="0"/>
          <w:bCs w:val="0"/>
          <w:color w:val="000000"/>
          <w:sz w:val="32"/>
          <w:szCs w:val="32"/>
        </w:rPr>
        <w:t>成品油销售经营者应当对散装汽油购买人的单位、身份信息、通信方式和购买数量及用途等如实登记，录入相关单位信息管理系统；对身份不明或者拒绝查验身份的，不得销售。</w:t>
      </w:r>
    </w:p>
    <w:p>
      <w:pPr>
        <w:keepNext w:val="0"/>
        <w:keepLines w:val="0"/>
        <w:pageBreakBefore w:val="0"/>
        <w:widowControl w:val="0"/>
        <w:kinsoku/>
        <w:wordWrap/>
        <w:overflowPunct/>
        <w:topLinePunct w:val="0"/>
        <w:autoSpaceDE/>
        <w:autoSpaceDN/>
        <w:bidi w:val="0"/>
        <w:adjustRightInd/>
        <w:snapToGrid/>
        <w:spacing w:line="240" w:lineRule="auto"/>
        <w:ind w:right="0" w:firstLine="632" w:firstLineChars="200"/>
        <w:textAlignment w:val="auto"/>
        <w:rPr>
          <w:rFonts w:hint="eastAsia" w:ascii="仿宋_GB2312" w:hAnsi="仿宋" w:eastAsia="仿宋_GB2312" w:cs="仿宋"/>
          <w:b w:val="0"/>
          <w:bCs w:val="0"/>
          <w:color w:val="000000"/>
          <w:sz w:val="32"/>
          <w:szCs w:val="32"/>
        </w:rPr>
      </w:pPr>
      <w:r>
        <w:rPr>
          <w:rFonts w:hint="eastAsia" w:ascii="仿宋_GB2312" w:hAnsi="仿宋" w:eastAsia="仿宋_GB2312" w:cs="仿宋"/>
          <w:b w:val="0"/>
          <w:bCs w:val="0"/>
          <w:color w:val="000000"/>
          <w:sz w:val="32"/>
          <w:szCs w:val="32"/>
        </w:rPr>
        <w:t>成品油销售站点应当确定散装汽油加油设备和区域，并对加油过程全程监督。散装汽油加油区域及其他重点部位实行二十四小时视频监控，采集的视频图像信息的保存期限不得少于三个月。</w:t>
      </w:r>
    </w:p>
    <w:p>
      <w:pPr>
        <w:keepNext w:val="0"/>
        <w:keepLines w:val="0"/>
        <w:pageBreakBefore w:val="0"/>
        <w:widowControl w:val="0"/>
        <w:kinsoku/>
        <w:wordWrap/>
        <w:overflowPunct/>
        <w:topLinePunct w:val="0"/>
        <w:autoSpaceDE/>
        <w:autoSpaceDN/>
        <w:bidi w:val="0"/>
        <w:adjustRightInd/>
        <w:snapToGrid/>
        <w:spacing w:line="240" w:lineRule="auto"/>
        <w:ind w:right="0" w:firstLine="632" w:firstLineChars="200"/>
        <w:textAlignment w:val="auto"/>
        <w:rPr>
          <w:rFonts w:hint="eastAsia" w:ascii="仿宋_GB2312" w:hAnsi="仿宋" w:eastAsia="仿宋_GB2312" w:cs="仿宋"/>
          <w:b w:val="0"/>
          <w:bCs w:val="0"/>
          <w:color w:val="000000"/>
          <w:sz w:val="32"/>
          <w:szCs w:val="32"/>
        </w:rPr>
      </w:pPr>
      <w:r>
        <w:rPr>
          <w:rFonts w:hint="eastAsia" w:ascii="黑体" w:hAnsi="黑体" w:eastAsia="黑体" w:cs="黑体"/>
          <w:b w:val="0"/>
          <w:bCs w:val="0"/>
          <w:color w:val="000000"/>
          <w:sz w:val="32"/>
          <w:szCs w:val="32"/>
        </w:rPr>
        <w:t xml:space="preserve">第二十条  </w:t>
      </w:r>
      <w:r>
        <w:rPr>
          <w:rFonts w:hint="eastAsia" w:ascii="仿宋_GB2312" w:hAnsi="仿宋" w:eastAsia="仿宋_GB2312" w:cs="仿宋"/>
          <w:b w:val="0"/>
          <w:bCs w:val="0"/>
          <w:color w:val="000000"/>
          <w:sz w:val="32"/>
          <w:szCs w:val="32"/>
        </w:rPr>
        <w:t>互联网服务提供者应当根据公安机关提供的特定物品目录，在网络平台进行筛查和分析，发现客户购买的特定物品可能用于制作武器、弹药和易燃易爆、剧毒、放射性等危险物品时，应当暂停对特定物品的网络服务，并及时向公安机关报告。</w:t>
      </w:r>
    </w:p>
    <w:p>
      <w:pPr>
        <w:keepNext w:val="0"/>
        <w:keepLines w:val="0"/>
        <w:pageBreakBefore w:val="0"/>
        <w:widowControl w:val="0"/>
        <w:kinsoku/>
        <w:wordWrap/>
        <w:overflowPunct/>
        <w:topLinePunct w:val="0"/>
        <w:autoSpaceDE/>
        <w:autoSpaceDN/>
        <w:bidi w:val="0"/>
        <w:adjustRightInd/>
        <w:snapToGrid/>
        <w:spacing w:line="240" w:lineRule="auto"/>
        <w:ind w:right="0" w:firstLine="632" w:firstLineChars="200"/>
        <w:textAlignment w:val="auto"/>
        <w:rPr>
          <w:rFonts w:hint="eastAsia" w:ascii="仿宋_GB2312" w:hAnsi="仿宋" w:eastAsia="仿宋_GB2312" w:cs="仿宋"/>
          <w:b w:val="0"/>
          <w:bCs w:val="0"/>
          <w:color w:val="000000"/>
          <w:sz w:val="32"/>
          <w:szCs w:val="32"/>
        </w:rPr>
      </w:pPr>
      <w:r>
        <w:rPr>
          <w:rFonts w:hint="eastAsia" w:ascii="仿宋_GB2312" w:hAnsi="仿宋" w:eastAsia="仿宋_GB2312" w:cs="宋体"/>
          <w:b w:val="0"/>
          <w:bCs w:val="0"/>
          <w:color w:val="000000"/>
          <w:kern w:val="0"/>
          <w:sz w:val="32"/>
          <w:szCs w:val="32"/>
        </w:rPr>
        <w:t>省公安机关应当按照必要、适度的原则确定特定物品目录，</w:t>
      </w:r>
      <w:r>
        <w:rPr>
          <w:rFonts w:hint="eastAsia" w:ascii="仿宋_GB2312" w:hAnsi="仿宋" w:eastAsia="仿宋_GB2312" w:cs="仿宋"/>
          <w:b w:val="0"/>
          <w:bCs w:val="0"/>
          <w:color w:val="000000"/>
          <w:sz w:val="32"/>
          <w:szCs w:val="32"/>
        </w:rPr>
        <w:t>并向社会公布。</w:t>
      </w:r>
    </w:p>
    <w:p>
      <w:pPr>
        <w:keepNext w:val="0"/>
        <w:keepLines w:val="0"/>
        <w:pageBreakBefore w:val="0"/>
        <w:widowControl w:val="0"/>
        <w:kinsoku/>
        <w:wordWrap/>
        <w:overflowPunct/>
        <w:topLinePunct w:val="0"/>
        <w:autoSpaceDE/>
        <w:autoSpaceDN/>
        <w:bidi w:val="0"/>
        <w:adjustRightInd/>
        <w:snapToGrid/>
        <w:spacing w:line="240" w:lineRule="auto"/>
        <w:ind w:right="0" w:firstLine="632" w:firstLineChars="200"/>
        <w:textAlignment w:val="auto"/>
        <w:rPr>
          <w:rFonts w:hint="eastAsia" w:ascii="仿宋_GB2312" w:hAnsi="仿宋" w:eastAsia="仿宋_GB2312" w:cs="仿宋"/>
          <w:b w:val="0"/>
          <w:bCs w:val="0"/>
          <w:color w:val="000000"/>
          <w:sz w:val="32"/>
          <w:szCs w:val="32"/>
        </w:rPr>
      </w:pPr>
      <w:r>
        <w:rPr>
          <w:rFonts w:hint="eastAsia" w:ascii="黑体" w:hAnsi="黑体" w:eastAsia="黑体" w:cs="黑体"/>
          <w:b w:val="0"/>
          <w:bCs w:val="0"/>
          <w:color w:val="000000"/>
          <w:sz w:val="32"/>
          <w:szCs w:val="32"/>
        </w:rPr>
        <w:t xml:space="preserve">第二十一条  </w:t>
      </w:r>
      <w:r>
        <w:rPr>
          <w:rFonts w:hint="eastAsia" w:ascii="仿宋_GB2312" w:hAnsi="仿宋" w:eastAsia="仿宋_GB2312" w:cs="仿宋"/>
          <w:b w:val="0"/>
          <w:bCs w:val="0"/>
          <w:color w:val="000000"/>
          <w:sz w:val="32"/>
          <w:szCs w:val="32"/>
        </w:rPr>
        <w:t>民用无人驾驶航空器销售经营者、使用者应当按照国家规定通过主管部门信息系统如实登记有关信息。民用无人驾驶航空器使用者应当在民用无人驾驶航空器机身上粘贴登记标志；未粘贴登记标志的，不得使用。</w:t>
      </w:r>
    </w:p>
    <w:p>
      <w:pPr>
        <w:keepNext w:val="0"/>
        <w:keepLines w:val="0"/>
        <w:pageBreakBefore w:val="0"/>
        <w:widowControl w:val="0"/>
        <w:kinsoku/>
        <w:wordWrap/>
        <w:overflowPunct/>
        <w:topLinePunct w:val="0"/>
        <w:autoSpaceDE/>
        <w:autoSpaceDN/>
        <w:bidi w:val="0"/>
        <w:adjustRightInd/>
        <w:snapToGrid/>
        <w:spacing w:line="240" w:lineRule="auto"/>
        <w:ind w:right="0" w:firstLine="632" w:firstLineChars="200"/>
        <w:textAlignment w:val="auto"/>
        <w:rPr>
          <w:rFonts w:hint="eastAsia" w:ascii="仿宋_GB2312" w:hAnsi="仿宋" w:eastAsia="仿宋_GB2312" w:cs="仿宋"/>
          <w:b w:val="0"/>
          <w:bCs w:val="0"/>
          <w:color w:val="000000"/>
          <w:sz w:val="32"/>
          <w:szCs w:val="32"/>
        </w:rPr>
      </w:pPr>
      <w:r>
        <w:rPr>
          <w:rFonts w:hint="eastAsia" w:ascii="仿宋_GB2312" w:hAnsi="仿宋" w:eastAsia="仿宋_GB2312" w:cs="仿宋"/>
          <w:b w:val="0"/>
          <w:bCs w:val="0"/>
          <w:color w:val="000000"/>
          <w:sz w:val="32"/>
          <w:szCs w:val="32"/>
        </w:rPr>
        <w:t>无人驾驶航空器未经批准闯入外事活动、重大安全保卫任务警卫区域、重大活动举办场所、突发事件处置现场和重点目标等空域的，公安机关、国家安全机关可以依法实施干扰、截控、捕获和摧毁等安全防范措施。</w:t>
      </w:r>
    </w:p>
    <w:p>
      <w:pPr>
        <w:keepNext w:val="0"/>
        <w:keepLines w:val="0"/>
        <w:pageBreakBefore w:val="0"/>
        <w:widowControl w:val="0"/>
        <w:kinsoku/>
        <w:wordWrap/>
        <w:overflowPunct/>
        <w:topLinePunct w:val="0"/>
        <w:autoSpaceDE/>
        <w:autoSpaceDN/>
        <w:bidi w:val="0"/>
        <w:adjustRightInd/>
        <w:snapToGrid/>
        <w:spacing w:line="240" w:lineRule="auto"/>
        <w:ind w:right="0" w:firstLine="632" w:firstLineChars="200"/>
        <w:textAlignment w:val="auto"/>
        <w:rPr>
          <w:rFonts w:hint="eastAsia" w:ascii="仿宋_GB2312" w:hAnsi="仿宋" w:eastAsia="仿宋_GB2312" w:cs="仿宋"/>
          <w:b w:val="0"/>
          <w:bCs w:val="0"/>
          <w:color w:val="000000"/>
          <w:sz w:val="32"/>
          <w:szCs w:val="32"/>
        </w:rPr>
      </w:pPr>
      <w:r>
        <w:rPr>
          <w:rFonts w:hint="eastAsia" w:ascii="黑体" w:hAnsi="黑体" w:eastAsia="黑体" w:cs="黑体"/>
          <w:b w:val="0"/>
          <w:bCs w:val="0"/>
          <w:color w:val="000000"/>
          <w:sz w:val="32"/>
          <w:szCs w:val="32"/>
        </w:rPr>
        <w:t xml:space="preserve">第二十二条  </w:t>
      </w:r>
      <w:r>
        <w:rPr>
          <w:rFonts w:hint="eastAsia" w:ascii="仿宋_GB2312" w:hAnsi="仿宋" w:eastAsia="仿宋_GB2312" w:cs="仿宋"/>
          <w:b w:val="0"/>
          <w:bCs w:val="0"/>
          <w:color w:val="000000"/>
          <w:sz w:val="32"/>
          <w:szCs w:val="32"/>
        </w:rPr>
        <w:t>省反恐怖主义工作领导机构应当建立反恐怖主义情报中心，整合有关部门、社会服务机构等信息资源，推进互联网、物联网、区块链、人工智能等高科技手段与反恐怖主义工作融合，构建大数据分析库，完善跨部门、跨地区情报信息工作机制，统筹全省反恐怖主义情报信息工作。</w:t>
      </w:r>
    </w:p>
    <w:p>
      <w:pPr>
        <w:keepNext w:val="0"/>
        <w:keepLines w:val="0"/>
        <w:pageBreakBefore w:val="0"/>
        <w:widowControl w:val="0"/>
        <w:kinsoku/>
        <w:wordWrap/>
        <w:overflowPunct/>
        <w:topLinePunct w:val="0"/>
        <w:autoSpaceDE/>
        <w:autoSpaceDN/>
        <w:bidi w:val="0"/>
        <w:adjustRightInd/>
        <w:snapToGrid/>
        <w:spacing w:line="240" w:lineRule="auto"/>
        <w:ind w:right="0" w:firstLine="632" w:firstLineChars="200"/>
        <w:textAlignment w:val="auto"/>
        <w:rPr>
          <w:rFonts w:hint="eastAsia" w:ascii="仿宋_GB2312" w:hAnsi="仿宋" w:eastAsia="仿宋_GB2312" w:cs="仿宋"/>
          <w:b w:val="0"/>
          <w:bCs w:val="0"/>
          <w:color w:val="000000"/>
          <w:sz w:val="32"/>
          <w:szCs w:val="32"/>
        </w:rPr>
      </w:pPr>
      <w:r>
        <w:rPr>
          <w:rFonts w:hint="eastAsia" w:ascii="仿宋_GB2312" w:hAnsi="仿宋" w:eastAsia="仿宋_GB2312" w:cs="仿宋"/>
          <w:b w:val="0"/>
          <w:bCs w:val="0"/>
          <w:color w:val="000000"/>
          <w:sz w:val="32"/>
          <w:szCs w:val="32"/>
        </w:rPr>
        <w:t>设区的市、自治州、县（市、区）反恐怖主义工作领导机构应当按照国家和省有关规定，结合本地区实际进行反恐怖主义情报信息收集、筛查、分析、存储，并及时</w:t>
      </w:r>
      <w:r>
        <w:rPr>
          <w:rFonts w:hint="eastAsia" w:ascii="仿宋_GB2312" w:hAnsi="仿宋" w:eastAsia="仿宋_GB2312" w:cs="仿宋_GB2312"/>
          <w:b w:val="0"/>
          <w:bCs w:val="0"/>
          <w:color w:val="000000"/>
          <w:sz w:val="32"/>
          <w:szCs w:val="32"/>
        </w:rPr>
        <w:t>向上一级反恐怖主义工作领导机构报告</w:t>
      </w:r>
      <w:r>
        <w:rPr>
          <w:rFonts w:hint="eastAsia" w:ascii="仿宋_GB2312" w:hAnsi="仿宋" w:eastAsia="仿宋_GB2312" w:cs="仿宋"/>
          <w:b w:val="0"/>
          <w:bCs w:val="0"/>
          <w:color w:val="000000"/>
          <w:sz w:val="32"/>
          <w:szCs w:val="32"/>
        </w:rPr>
        <w:t>相关信息</w:t>
      </w:r>
      <w:r>
        <w:rPr>
          <w:rFonts w:hint="eastAsia" w:ascii="仿宋_GB2312" w:hAnsi="仿宋" w:eastAsia="仿宋_GB2312" w:cs="仿宋_GB2312"/>
          <w:b w:val="0"/>
          <w:bCs w:val="0"/>
          <w:color w:val="000000"/>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right="0" w:firstLine="632" w:firstLineChars="200"/>
        <w:textAlignment w:val="auto"/>
        <w:rPr>
          <w:rFonts w:hint="eastAsia" w:ascii="仿宋_GB2312" w:hAnsi="仿宋" w:eastAsia="仿宋_GB2312" w:cs="仿宋"/>
          <w:b w:val="0"/>
          <w:bCs w:val="0"/>
          <w:color w:val="000000"/>
          <w:sz w:val="32"/>
          <w:szCs w:val="32"/>
        </w:rPr>
      </w:pPr>
      <w:r>
        <w:rPr>
          <w:rFonts w:hint="eastAsia" w:ascii="仿宋_GB2312" w:hAnsi="仿宋" w:eastAsia="仿宋_GB2312" w:cs="仿宋"/>
          <w:b w:val="0"/>
          <w:bCs w:val="0"/>
          <w:color w:val="000000"/>
          <w:sz w:val="32"/>
          <w:szCs w:val="32"/>
        </w:rPr>
        <w:t>有关部门应当将工作中获得的涉及恐怖主义情报信息以及查获的涉恐人员、物品、资金等相关信息，及时报本级反恐怖主义工作领导机构。</w:t>
      </w:r>
    </w:p>
    <w:p>
      <w:pPr>
        <w:keepNext w:val="0"/>
        <w:keepLines w:val="0"/>
        <w:pageBreakBefore w:val="0"/>
        <w:widowControl w:val="0"/>
        <w:kinsoku/>
        <w:wordWrap/>
        <w:overflowPunct/>
        <w:topLinePunct w:val="0"/>
        <w:autoSpaceDE/>
        <w:autoSpaceDN/>
        <w:bidi w:val="0"/>
        <w:adjustRightInd/>
        <w:snapToGrid/>
        <w:spacing w:line="240" w:lineRule="auto"/>
        <w:ind w:right="0" w:firstLine="632" w:firstLineChars="200"/>
        <w:textAlignment w:val="auto"/>
        <w:rPr>
          <w:rFonts w:hint="eastAsia" w:ascii="仿宋_GB2312" w:hAnsi="仿宋" w:eastAsia="仿宋_GB2312" w:cs="仿宋"/>
          <w:b w:val="0"/>
          <w:bCs w:val="0"/>
          <w:color w:val="000000"/>
          <w:sz w:val="32"/>
          <w:szCs w:val="32"/>
        </w:rPr>
      </w:pPr>
      <w:r>
        <w:rPr>
          <w:rFonts w:hint="eastAsia" w:ascii="黑体" w:hAnsi="黑体" w:eastAsia="黑体" w:cs="黑体"/>
          <w:b w:val="0"/>
          <w:bCs w:val="0"/>
          <w:color w:val="000000"/>
          <w:sz w:val="32"/>
          <w:szCs w:val="32"/>
        </w:rPr>
        <w:t xml:space="preserve">第二十三条  </w:t>
      </w:r>
      <w:r>
        <w:rPr>
          <w:rFonts w:hint="eastAsia" w:ascii="仿宋_GB2312" w:hAnsi="仿宋" w:eastAsia="仿宋_GB2312" w:cs="仿宋"/>
          <w:b w:val="0"/>
          <w:bCs w:val="0"/>
          <w:color w:val="000000"/>
          <w:sz w:val="32"/>
          <w:szCs w:val="32"/>
        </w:rPr>
        <w:t>公安机关、国家安全机关和有关部门应当加强反恐怖主义情报信息专业队伍建设，建立情报信息人员选用、培</w:t>
      </w:r>
      <w:r>
        <w:rPr>
          <w:rFonts w:hint="eastAsia" w:ascii="仿宋_GB2312" w:hAnsi="仿宋" w:eastAsia="仿宋_GB2312" w:cs="仿宋"/>
          <w:b w:val="0"/>
          <w:bCs w:val="0"/>
          <w:color w:val="000000"/>
          <w:spacing w:val="-6"/>
          <w:sz w:val="32"/>
          <w:szCs w:val="32"/>
        </w:rPr>
        <w:t>训、考核等制度；依托基层组织和有关单位建立反恐怖主义信息报</w:t>
      </w:r>
      <w:r>
        <w:rPr>
          <w:rFonts w:hint="eastAsia" w:ascii="仿宋_GB2312" w:hAnsi="仿宋" w:eastAsia="仿宋_GB2312" w:cs="仿宋"/>
          <w:b w:val="0"/>
          <w:bCs w:val="0"/>
          <w:color w:val="000000"/>
          <w:sz w:val="32"/>
          <w:szCs w:val="32"/>
        </w:rPr>
        <w:t>告员制度，对信息报告员的误工费、交通费、通信费等予以补助。</w:t>
      </w:r>
    </w:p>
    <w:p>
      <w:pPr>
        <w:keepNext w:val="0"/>
        <w:keepLines w:val="0"/>
        <w:pageBreakBefore w:val="0"/>
        <w:widowControl w:val="0"/>
        <w:kinsoku/>
        <w:wordWrap/>
        <w:overflowPunct/>
        <w:topLinePunct w:val="0"/>
        <w:autoSpaceDE/>
        <w:autoSpaceDN/>
        <w:bidi w:val="0"/>
        <w:adjustRightInd/>
        <w:snapToGrid/>
        <w:spacing w:line="240" w:lineRule="auto"/>
        <w:ind w:right="0" w:firstLine="632" w:firstLineChars="200"/>
        <w:textAlignment w:val="auto"/>
        <w:rPr>
          <w:rFonts w:hint="eastAsia" w:ascii="仿宋_GB2312" w:hAnsi="仿宋" w:eastAsia="仿宋_GB2312" w:cs="仿宋"/>
          <w:b w:val="0"/>
          <w:bCs w:val="0"/>
          <w:color w:val="000000"/>
          <w:sz w:val="32"/>
          <w:szCs w:val="32"/>
        </w:rPr>
      </w:pPr>
      <w:r>
        <w:rPr>
          <w:rFonts w:hint="eastAsia" w:ascii="黑体" w:hAnsi="黑体" w:eastAsia="黑体" w:cs="黑体"/>
          <w:b w:val="0"/>
          <w:bCs w:val="0"/>
          <w:color w:val="000000"/>
          <w:sz w:val="32"/>
          <w:szCs w:val="32"/>
        </w:rPr>
        <w:t xml:space="preserve">第二十四条  </w:t>
      </w:r>
      <w:r>
        <w:rPr>
          <w:rFonts w:hint="eastAsia" w:ascii="仿宋_GB2312" w:hAnsi="仿宋" w:eastAsia="仿宋_GB2312" w:cs="仿宋"/>
          <w:b w:val="0"/>
          <w:bCs w:val="0"/>
          <w:color w:val="000000"/>
          <w:sz w:val="32"/>
          <w:szCs w:val="32"/>
        </w:rPr>
        <w:t>县级以上反恐怖主义工作领导机构应当制定恐怖事件应对处置预案。省级应对处置预案应当包括应对指挥机制、信息报告要求、设区的市级和县级工作职责等内容；设区的市级和县级应对处置预案应当包括处置措施、物资保障及调动程序等内容。</w:t>
      </w:r>
    </w:p>
    <w:p>
      <w:pPr>
        <w:keepNext w:val="0"/>
        <w:keepLines w:val="0"/>
        <w:pageBreakBefore w:val="0"/>
        <w:widowControl w:val="0"/>
        <w:kinsoku/>
        <w:wordWrap/>
        <w:overflowPunct/>
        <w:topLinePunct w:val="0"/>
        <w:autoSpaceDE/>
        <w:autoSpaceDN/>
        <w:bidi w:val="0"/>
        <w:adjustRightInd/>
        <w:snapToGrid/>
        <w:spacing w:line="240" w:lineRule="auto"/>
        <w:ind w:right="0" w:firstLine="632" w:firstLineChars="200"/>
        <w:textAlignment w:val="auto"/>
        <w:rPr>
          <w:rFonts w:hint="eastAsia" w:ascii="仿宋_GB2312" w:hAnsi="仿宋" w:eastAsia="仿宋_GB2312" w:cs="仿宋"/>
          <w:b w:val="0"/>
          <w:bCs w:val="0"/>
          <w:color w:val="000000"/>
          <w:sz w:val="32"/>
          <w:szCs w:val="32"/>
        </w:rPr>
      </w:pPr>
      <w:r>
        <w:rPr>
          <w:rFonts w:hint="eastAsia" w:ascii="仿宋_GB2312" w:hAnsi="仿宋" w:eastAsia="仿宋_GB2312" w:cs="仿宋"/>
          <w:b w:val="0"/>
          <w:bCs w:val="0"/>
          <w:color w:val="000000"/>
          <w:sz w:val="32"/>
          <w:szCs w:val="32"/>
        </w:rPr>
        <w:t>乡（镇）人民政府应当根据上级反恐怖主义工作领导机构的要求，制定包括先期处置、自救互救、信息收集、人员安置等内容的反恐怖事件应对处置预案。</w:t>
      </w:r>
    </w:p>
    <w:p>
      <w:pPr>
        <w:keepNext w:val="0"/>
        <w:keepLines w:val="0"/>
        <w:pageBreakBefore w:val="0"/>
        <w:widowControl w:val="0"/>
        <w:kinsoku/>
        <w:wordWrap/>
        <w:overflowPunct/>
        <w:topLinePunct w:val="0"/>
        <w:autoSpaceDE/>
        <w:autoSpaceDN/>
        <w:bidi w:val="0"/>
        <w:adjustRightInd/>
        <w:snapToGrid/>
        <w:spacing w:line="240" w:lineRule="auto"/>
        <w:ind w:right="0" w:firstLine="632" w:firstLineChars="200"/>
        <w:textAlignment w:val="auto"/>
        <w:rPr>
          <w:rFonts w:hint="eastAsia" w:ascii="仿宋_GB2312" w:hAnsi="仿宋" w:eastAsia="仿宋_GB2312" w:cs="仿宋"/>
          <w:b w:val="0"/>
          <w:bCs w:val="0"/>
          <w:color w:val="000000"/>
          <w:sz w:val="32"/>
          <w:szCs w:val="32"/>
        </w:rPr>
      </w:pPr>
      <w:r>
        <w:rPr>
          <w:rFonts w:hint="eastAsia" w:ascii="黑体" w:hAnsi="黑体" w:eastAsia="黑体" w:cs="黑体"/>
          <w:b w:val="0"/>
          <w:bCs w:val="0"/>
          <w:color w:val="000000"/>
          <w:sz w:val="32"/>
          <w:szCs w:val="32"/>
        </w:rPr>
        <w:t xml:space="preserve">第二十五条  </w:t>
      </w:r>
      <w:r>
        <w:rPr>
          <w:rFonts w:hint="eastAsia" w:ascii="仿宋_GB2312" w:hAnsi="仿宋" w:eastAsia="仿宋_GB2312" w:cs="仿宋"/>
          <w:b w:val="0"/>
          <w:bCs w:val="0"/>
          <w:color w:val="000000"/>
          <w:sz w:val="32"/>
          <w:szCs w:val="32"/>
        </w:rPr>
        <w:t>恐怖事件发生后，反恐怖主义工作领导机构可以决定由有关部门和单位采取下列应对处置措施：</w:t>
      </w:r>
    </w:p>
    <w:p>
      <w:pPr>
        <w:keepNext w:val="0"/>
        <w:keepLines w:val="0"/>
        <w:pageBreakBefore w:val="0"/>
        <w:widowControl w:val="0"/>
        <w:kinsoku/>
        <w:wordWrap/>
        <w:overflowPunct/>
        <w:topLinePunct w:val="0"/>
        <w:autoSpaceDE/>
        <w:autoSpaceDN/>
        <w:bidi w:val="0"/>
        <w:adjustRightInd/>
        <w:snapToGrid/>
        <w:spacing w:line="240" w:lineRule="auto"/>
        <w:ind w:right="0" w:firstLine="632" w:firstLineChars="200"/>
        <w:textAlignment w:val="auto"/>
        <w:rPr>
          <w:rFonts w:hint="eastAsia" w:ascii="仿宋_GB2312" w:hAnsi="仿宋" w:eastAsia="仿宋_GB2312" w:cs="仿宋"/>
          <w:b w:val="0"/>
          <w:bCs w:val="0"/>
          <w:color w:val="000000"/>
          <w:sz w:val="32"/>
          <w:szCs w:val="32"/>
        </w:rPr>
      </w:pPr>
      <w:r>
        <w:rPr>
          <w:rFonts w:hint="eastAsia" w:ascii="仿宋_GB2312" w:hAnsi="仿宋" w:eastAsia="仿宋_GB2312" w:cs="仿宋"/>
          <w:b w:val="0"/>
          <w:bCs w:val="0"/>
          <w:color w:val="000000"/>
          <w:sz w:val="32"/>
          <w:szCs w:val="32"/>
        </w:rPr>
        <w:t>（一）中止正在或者准备举行的集会、游行、示威以及大型的文化、体育、宗教、演出等活动，并对现场人员予以保护、疏散，可以在一定时间和区域内不予批准此类活动举行；</w:t>
      </w:r>
    </w:p>
    <w:p>
      <w:pPr>
        <w:keepNext w:val="0"/>
        <w:keepLines w:val="0"/>
        <w:pageBreakBefore w:val="0"/>
        <w:widowControl w:val="0"/>
        <w:kinsoku/>
        <w:wordWrap/>
        <w:overflowPunct/>
        <w:topLinePunct w:val="0"/>
        <w:autoSpaceDE/>
        <w:autoSpaceDN/>
        <w:bidi w:val="0"/>
        <w:adjustRightInd/>
        <w:snapToGrid/>
        <w:spacing w:line="240" w:lineRule="auto"/>
        <w:ind w:right="0" w:firstLine="632" w:firstLineChars="200"/>
        <w:textAlignment w:val="auto"/>
        <w:rPr>
          <w:rFonts w:hint="eastAsia" w:ascii="仿宋_GB2312" w:hAnsi="仿宋" w:eastAsia="仿宋_GB2312" w:cs="仿宋"/>
          <w:b w:val="0"/>
          <w:bCs w:val="0"/>
          <w:color w:val="000000"/>
          <w:sz w:val="32"/>
          <w:szCs w:val="32"/>
        </w:rPr>
      </w:pPr>
      <w:r>
        <w:rPr>
          <w:rFonts w:hint="eastAsia" w:ascii="仿宋_GB2312" w:hAnsi="仿宋" w:eastAsia="仿宋_GB2312" w:cs="仿宋"/>
          <w:b w:val="0"/>
          <w:bCs w:val="0"/>
          <w:color w:val="000000"/>
          <w:sz w:val="32"/>
          <w:szCs w:val="32"/>
        </w:rPr>
        <w:t>（二）中止或者暂停有关机关、企业事业单位、团体和组织的活动，并对现场人员予以保护、疏散，可以在一定时间内变更上述单位、组织的作息时间；暂停或者限制娱乐、服务性场所营业；</w:t>
      </w:r>
    </w:p>
    <w:p>
      <w:pPr>
        <w:keepNext w:val="0"/>
        <w:keepLines w:val="0"/>
        <w:pageBreakBefore w:val="0"/>
        <w:widowControl w:val="0"/>
        <w:kinsoku/>
        <w:wordWrap/>
        <w:overflowPunct/>
        <w:topLinePunct w:val="0"/>
        <w:autoSpaceDE/>
        <w:autoSpaceDN/>
        <w:bidi w:val="0"/>
        <w:adjustRightInd/>
        <w:snapToGrid/>
        <w:spacing w:line="240" w:lineRule="auto"/>
        <w:ind w:right="0" w:firstLine="632" w:firstLineChars="200"/>
        <w:textAlignment w:val="auto"/>
        <w:rPr>
          <w:rFonts w:hint="eastAsia" w:ascii="仿宋_GB2312" w:hAnsi="仿宋" w:eastAsia="仿宋_GB2312" w:cs="仿宋"/>
          <w:b w:val="0"/>
          <w:bCs w:val="0"/>
          <w:color w:val="000000"/>
          <w:sz w:val="32"/>
          <w:szCs w:val="32"/>
        </w:rPr>
      </w:pPr>
      <w:r>
        <w:rPr>
          <w:rFonts w:hint="eastAsia" w:ascii="仿宋_GB2312" w:hAnsi="仿宋" w:eastAsia="仿宋_GB2312" w:cs="仿宋"/>
          <w:b w:val="0"/>
          <w:bCs w:val="0"/>
          <w:color w:val="000000"/>
          <w:sz w:val="32"/>
          <w:szCs w:val="32"/>
        </w:rPr>
        <w:t>（三）对出入公路、水路的人员、交通运输工具、物品等进行检查；</w:t>
      </w:r>
    </w:p>
    <w:p>
      <w:pPr>
        <w:keepNext w:val="0"/>
        <w:keepLines w:val="0"/>
        <w:pageBreakBefore w:val="0"/>
        <w:widowControl w:val="0"/>
        <w:kinsoku/>
        <w:wordWrap/>
        <w:overflowPunct/>
        <w:topLinePunct w:val="0"/>
        <w:autoSpaceDE/>
        <w:autoSpaceDN/>
        <w:bidi w:val="0"/>
        <w:adjustRightInd/>
        <w:snapToGrid/>
        <w:spacing w:line="240" w:lineRule="auto"/>
        <w:ind w:right="0" w:firstLine="632" w:firstLineChars="200"/>
        <w:textAlignment w:val="auto"/>
        <w:rPr>
          <w:rFonts w:hint="eastAsia" w:ascii="仿宋_GB2312" w:hAnsi="仿宋" w:eastAsia="仿宋_GB2312" w:cs="仿宋"/>
          <w:b w:val="0"/>
          <w:bCs w:val="0"/>
          <w:color w:val="000000"/>
          <w:sz w:val="32"/>
          <w:szCs w:val="32"/>
        </w:rPr>
      </w:pPr>
      <w:r>
        <w:rPr>
          <w:rFonts w:hint="eastAsia" w:ascii="仿宋_GB2312" w:hAnsi="仿宋" w:eastAsia="仿宋_GB2312" w:cs="仿宋"/>
          <w:b w:val="0"/>
          <w:bCs w:val="0"/>
          <w:color w:val="000000"/>
          <w:sz w:val="32"/>
          <w:szCs w:val="32"/>
        </w:rPr>
        <w:t>（四）暂停或者限制易燃易爆、剧毒、放射性、危险化学品和生物危险品等物品的生产、经营和运输等活动；</w:t>
      </w:r>
    </w:p>
    <w:p>
      <w:pPr>
        <w:keepNext w:val="0"/>
        <w:keepLines w:val="0"/>
        <w:pageBreakBefore w:val="0"/>
        <w:widowControl w:val="0"/>
        <w:kinsoku/>
        <w:wordWrap/>
        <w:overflowPunct/>
        <w:topLinePunct w:val="0"/>
        <w:autoSpaceDE/>
        <w:autoSpaceDN/>
        <w:bidi w:val="0"/>
        <w:adjustRightInd/>
        <w:snapToGrid/>
        <w:spacing w:line="240" w:lineRule="auto"/>
        <w:ind w:right="0" w:firstLine="632" w:firstLineChars="200"/>
        <w:textAlignment w:val="auto"/>
        <w:rPr>
          <w:rFonts w:hint="eastAsia" w:ascii="仿宋_GB2312" w:hAnsi="仿宋" w:eastAsia="仿宋_GB2312" w:cs="仿宋"/>
          <w:b w:val="0"/>
          <w:bCs w:val="0"/>
          <w:color w:val="000000"/>
          <w:sz w:val="32"/>
          <w:szCs w:val="32"/>
        </w:rPr>
      </w:pPr>
      <w:r>
        <w:rPr>
          <w:rFonts w:hint="eastAsia" w:ascii="仿宋_GB2312" w:hAnsi="仿宋" w:eastAsia="仿宋_GB2312" w:cs="仿宋"/>
          <w:b w:val="0"/>
          <w:bCs w:val="0"/>
          <w:color w:val="000000"/>
          <w:sz w:val="32"/>
          <w:szCs w:val="32"/>
        </w:rPr>
        <w:t>（五）加强对重点目标、人员密集场所和重要设施的巡逻、检查、监控和保卫，组织专门力量加强安全防范；</w:t>
      </w:r>
    </w:p>
    <w:p>
      <w:pPr>
        <w:keepNext w:val="0"/>
        <w:keepLines w:val="0"/>
        <w:pageBreakBefore w:val="0"/>
        <w:widowControl w:val="0"/>
        <w:kinsoku/>
        <w:wordWrap/>
        <w:overflowPunct/>
        <w:topLinePunct w:val="0"/>
        <w:autoSpaceDE/>
        <w:autoSpaceDN/>
        <w:bidi w:val="0"/>
        <w:adjustRightInd/>
        <w:snapToGrid/>
        <w:spacing w:line="240" w:lineRule="auto"/>
        <w:ind w:right="0" w:firstLine="632" w:firstLineChars="200"/>
        <w:textAlignment w:val="auto"/>
        <w:rPr>
          <w:rFonts w:hint="eastAsia" w:ascii="仿宋_GB2312" w:hAnsi="仿宋" w:eastAsia="仿宋_GB2312" w:cs="仿宋"/>
          <w:b w:val="0"/>
          <w:bCs w:val="0"/>
          <w:color w:val="000000"/>
          <w:sz w:val="32"/>
          <w:szCs w:val="32"/>
        </w:rPr>
      </w:pPr>
      <w:r>
        <w:rPr>
          <w:rFonts w:hint="eastAsia" w:ascii="仿宋_GB2312" w:hAnsi="仿宋" w:eastAsia="仿宋_GB2312" w:cs="仿宋"/>
          <w:b w:val="0"/>
          <w:bCs w:val="0"/>
          <w:color w:val="000000"/>
          <w:sz w:val="32"/>
          <w:szCs w:val="32"/>
        </w:rPr>
        <w:t>（六）对无人驾驶航空器进行严格监控，必要时可以决定停止使用；</w:t>
      </w:r>
    </w:p>
    <w:p>
      <w:pPr>
        <w:keepNext w:val="0"/>
        <w:keepLines w:val="0"/>
        <w:pageBreakBefore w:val="0"/>
        <w:widowControl w:val="0"/>
        <w:kinsoku/>
        <w:wordWrap/>
        <w:overflowPunct/>
        <w:topLinePunct w:val="0"/>
        <w:autoSpaceDE/>
        <w:autoSpaceDN/>
        <w:bidi w:val="0"/>
        <w:adjustRightInd/>
        <w:snapToGrid/>
        <w:spacing w:line="240" w:lineRule="auto"/>
        <w:ind w:right="0" w:firstLine="632" w:firstLineChars="200"/>
        <w:textAlignment w:val="auto"/>
        <w:rPr>
          <w:rFonts w:hint="eastAsia" w:ascii="仿宋_GB2312" w:hAnsi="仿宋" w:eastAsia="仿宋_GB2312" w:cs="仿宋"/>
          <w:b w:val="0"/>
          <w:bCs w:val="0"/>
          <w:color w:val="000000"/>
          <w:sz w:val="32"/>
          <w:szCs w:val="32"/>
        </w:rPr>
      </w:pPr>
      <w:r>
        <w:rPr>
          <w:rFonts w:hint="eastAsia" w:ascii="仿宋_GB2312" w:hAnsi="仿宋" w:eastAsia="仿宋_GB2312" w:cs="仿宋"/>
          <w:b w:val="0"/>
          <w:bCs w:val="0"/>
          <w:color w:val="000000"/>
          <w:sz w:val="32"/>
          <w:szCs w:val="32"/>
        </w:rPr>
        <w:t>（七）法律、法规规定的和其他必要的应对处置措施。</w:t>
      </w:r>
    </w:p>
    <w:p>
      <w:pPr>
        <w:keepNext w:val="0"/>
        <w:keepLines w:val="0"/>
        <w:pageBreakBefore w:val="0"/>
        <w:widowControl w:val="0"/>
        <w:kinsoku/>
        <w:wordWrap/>
        <w:overflowPunct/>
        <w:topLinePunct w:val="0"/>
        <w:autoSpaceDE/>
        <w:autoSpaceDN/>
        <w:bidi w:val="0"/>
        <w:adjustRightInd/>
        <w:snapToGrid/>
        <w:spacing w:line="240" w:lineRule="auto"/>
        <w:ind w:right="0" w:firstLine="632" w:firstLineChars="200"/>
        <w:textAlignment w:val="auto"/>
        <w:rPr>
          <w:rFonts w:hint="eastAsia" w:ascii="仿宋_GB2312" w:hAnsi="仿宋" w:eastAsia="仿宋_GB2312" w:cs="仿宋"/>
          <w:b w:val="0"/>
          <w:bCs w:val="0"/>
          <w:color w:val="000000"/>
          <w:sz w:val="32"/>
          <w:szCs w:val="32"/>
        </w:rPr>
      </w:pPr>
      <w:r>
        <w:rPr>
          <w:rFonts w:hint="eastAsia" w:ascii="仿宋_GB2312" w:hAnsi="仿宋" w:eastAsia="仿宋_GB2312" w:cs="仿宋"/>
          <w:b w:val="0"/>
          <w:bCs w:val="0"/>
          <w:color w:val="000000"/>
          <w:sz w:val="32"/>
          <w:szCs w:val="32"/>
        </w:rPr>
        <w:t>前款规定的应对处置措施，应当按照及时、必要的原则组织实施，并向社会公布适用的时间和空间范围。</w:t>
      </w:r>
    </w:p>
    <w:p>
      <w:pPr>
        <w:keepNext w:val="0"/>
        <w:keepLines w:val="0"/>
        <w:pageBreakBefore w:val="0"/>
        <w:widowControl w:val="0"/>
        <w:kinsoku/>
        <w:wordWrap/>
        <w:overflowPunct/>
        <w:topLinePunct w:val="0"/>
        <w:autoSpaceDE/>
        <w:autoSpaceDN/>
        <w:bidi w:val="0"/>
        <w:adjustRightInd/>
        <w:snapToGrid/>
        <w:spacing w:line="240" w:lineRule="auto"/>
        <w:ind w:right="0" w:firstLine="632" w:firstLineChars="200"/>
        <w:textAlignment w:val="auto"/>
        <w:rPr>
          <w:rFonts w:hint="eastAsia" w:ascii="仿宋_GB2312" w:hAnsi="仿宋" w:eastAsia="仿宋_GB2312" w:cs="黑体"/>
          <w:b w:val="0"/>
          <w:bCs w:val="0"/>
          <w:color w:val="000000"/>
          <w:sz w:val="32"/>
          <w:szCs w:val="32"/>
        </w:rPr>
      </w:pPr>
      <w:r>
        <w:rPr>
          <w:rFonts w:hint="eastAsia" w:ascii="黑体" w:hAnsi="黑体" w:eastAsia="黑体" w:cs="黑体"/>
          <w:b w:val="0"/>
          <w:bCs w:val="0"/>
          <w:color w:val="000000"/>
          <w:sz w:val="32"/>
          <w:szCs w:val="32"/>
        </w:rPr>
        <w:t xml:space="preserve">第二十六条  </w:t>
      </w:r>
      <w:r>
        <w:rPr>
          <w:rFonts w:hint="eastAsia" w:ascii="仿宋_GB2312" w:hAnsi="仿宋" w:eastAsia="仿宋_GB2312" w:cs="黑体"/>
          <w:b w:val="0"/>
          <w:bCs w:val="0"/>
          <w:color w:val="000000"/>
          <w:sz w:val="32"/>
          <w:szCs w:val="32"/>
        </w:rPr>
        <w:t>违反本办法第十六条第三款规定，房屋出租人未如实登记承租人身份信息和通信方式，或者未在三个工作日内将登记信息报辖区公安派出所或者村（居）民委员会的，</w:t>
      </w:r>
      <w:r>
        <w:rPr>
          <w:rFonts w:hint="eastAsia" w:ascii="仿宋_GB2312" w:hAnsi="仿宋" w:eastAsia="仿宋_GB2312" w:cs="仿宋"/>
          <w:b w:val="0"/>
          <w:bCs w:val="0"/>
          <w:color w:val="000000"/>
          <w:sz w:val="32"/>
          <w:szCs w:val="32"/>
        </w:rPr>
        <w:t>由公安机关责令改正；拒不改正的，处警告或者二百元以上五百元以下罚款。</w:t>
      </w:r>
    </w:p>
    <w:p>
      <w:pPr>
        <w:keepNext w:val="0"/>
        <w:keepLines w:val="0"/>
        <w:pageBreakBefore w:val="0"/>
        <w:widowControl w:val="0"/>
        <w:kinsoku/>
        <w:wordWrap/>
        <w:overflowPunct/>
        <w:topLinePunct w:val="0"/>
        <w:autoSpaceDE/>
        <w:autoSpaceDN/>
        <w:bidi w:val="0"/>
        <w:adjustRightInd/>
        <w:snapToGrid/>
        <w:spacing w:line="240" w:lineRule="auto"/>
        <w:ind w:right="0" w:firstLine="632" w:firstLineChars="200"/>
        <w:textAlignment w:val="auto"/>
        <w:rPr>
          <w:rFonts w:hint="eastAsia" w:ascii="仿宋_GB2312" w:hAnsi="黑体" w:eastAsia="仿宋_GB2312" w:cs="仿宋"/>
          <w:b w:val="0"/>
          <w:bCs w:val="0"/>
          <w:color w:val="000000"/>
          <w:sz w:val="32"/>
          <w:szCs w:val="32"/>
        </w:rPr>
      </w:pPr>
      <w:r>
        <w:rPr>
          <w:rFonts w:hint="eastAsia" w:ascii="黑体" w:hAnsi="黑体" w:eastAsia="黑体" w:cs="黑体"/>
          <w:b w:val="0"/>
          <w:bCs w:val="0"/>
          <w:color w:val="000000"/>
          <w:sz w:val="32"/>
          <w:szCs w:val="32"/>
        </w:rPr>
        <w:t xml:space="preserve">第二十七条  </w:t>
      </w:r>
      <w:r>
        <w:rPr>
          <w:rFonts w:hint="eastAsia" w:ascii="仿宋_GB2312" w:hAnsi="仿宋" w:eastAsia="仿宋_GB2312" w:cs="仿宋"/>
          <w:b w:val="0"/>
          <w:bCs w:val="0"/>
          <w:color w:val="000000"/>
          <w:sz w:val="32"/>
          <w:szCs w:val="32"/>
        </w:rPr>
        <w:t>违反本办法第十八条和第二十一条第一款规定，二手车交易经营者、服务提供者未对交易双方当事人身份进行查验或者对身份不明、拒绝身份查验的交易当事人提供服务的，民用</w:t>
      </w:r>
      <w:r>
        <w:rPr>
          <w:rFonts w:hint="eastAsia" w:ascii="仿宋_GB2312" w:hAnsi="仿宋" w:eastAsia="仿宋_GB2312" w:cs="黑体"/>
          <w:b w:val="0"/>
          <w:bCs w:val="0"/>
          <w:color w:val="000000"/>
          <w:sz w:val="32"/>
          <w:szCs w:val="32"/>
        </w:rPr>
        <w:t>无人驾驶航空器销售经营者未通过主管部门信息系统如实登记有关信息的，</w:t>
      </w:r>
      <w:r>
        <w:rPr>
          <w:rFonts w:hint="eastAsia" w:ascii="仿宋_GB2312" w:hAnsi="仿宋" w:eastAsia="仿宋_GB2312" w:cs="仿宋"/>
          <w:b w:val="0"/>
          <w:bCs w:val="0"/>
          <w:color w:val="000000"/>
          <w:sz w:val="32"/>
          <w:szCs w:val="32"/>
        </w:rPr>
        <w:t>由主管部门责令改正，是单位的，对单位处十万元以上二十万元以下罚款，并对其直接负责的主管人员和其他直接责任人员处一万元以上十万元以下罚款；是个人的，处一万元以上十万元以下罚款</w:t>
      </w:r>
      <w:r>
        <w:rPr>
          <w:rFonts w:hint="eastAsia" w:ascii="仿宋_GB2312" w:hAnsi="黑体" w:eastAsia="仿宋_GB2312" w:cs="仿宋"/>
          <w:b w:val="0"/>
          <w:bCs w:val="0"/>
          <w:color w:val="000000"/>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right="0" w:firstLine="632" w:firstLineChars="200"/>
        <w:textAlignment w:val="auto"/>
        <w:rPr>
          <w:rFonts w:hint="eastAsia" w:ascii="仿宋_GB2312" w:hAnsi="仿宋" w:eastAsia="仿宋_GB2312" w:cs="仿宋"/>
          <w:b w:val="0"/>
          <w:bCs w:val="0"/>
          <w:color w:val="000000"/>
          <w:sz w:val="32"/>
          <w:szCs w:val="32"/>
        </w:rPr>
      </w:pPr>
      <w:r>
        <w:rPr>
          <w:rFonts w:hint="eastAsia" w:ascii="仿宋_GB2312" w:hAnsi="仿宋" w:eastAsia="仿宋_GB2312" w:cs="仿宋"/>
          <w:b w:val="0"/>
          <w:bCs w:val="0"/>
          <w:color w:val="000000"/>
          <w:sz w:val="32"/>
          <w:szCs w:val="32"/>
        </w:rPr>
        <w:t>违反本办法第二十一条第一款规定，民用无人驾驶航空器使用者</w:t>
      </w:r>
      <w:r>
        <w:rPr>
          <w:rFonts w:hint="eastAsia" w:ascii="仿宋_GB2312" w:hAnsi="仿宋" w:eastAsia="仿宋_GB2312" w:cs="黑体"/>
          <w:b w:val="0"/>
          <w:bCs w:val="0"/>
          <w:color w:val="000000"/>
          <w:sz w:val="32"/>
          <w:szCs w:val="32"/>
        </w:rPr>
        <w:t>未通过主管部门信息系统如实登记有关信息或者</w:t>
      </w:r>
      <w:r>
        <w:rPr>
          <w:rFonts w:hint="eastAsia" w:ascii="仿宋_GB2312" w:hAnsi="仿宋" w:eastAsia="仿宋_GB2312" w:cs="仿宋"/>
          <w:b w:val="0"/>
          <w:bCs w:val="0"/>
          <w:color w:val="000000"/>
          <w:sz w:val="32"/>
          <w:szCs w:val="32"/>
        </w:rPr>
        <w:t>未在机身上粘贴登记标志的，由主管部门责令改正，拒不改正，是单位的，对单位处一万元以上十万元以下罚款，并对其直接负责的主管人员和其他直接责任人员处二千元以上一万元以下罚款；是个人的，处二千元以上一万元以下罚款</w:t>
      </w:r>
      <w:r>
        <w:rPr>
          <w:rFonts w:hint="eastAsia" w:ascii="仿宋_GB2312" w:hAnsi="黑体" w:eastAsia="仿宋_GB2312" w:cs="仿宋"/>
          <w:b w:val="0"/>
          <w:bCs w:val="0"/>
          <w:color w:val="000000"/>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right="0" w:firstLine="632" w:firstLineChars="200"/>
        <w:textAlignment w:val="auto"/>
        <w:rPr>
          <w:rFonts w:hint="eastAsia" w:ascii="仿宋_GB2312" w:hAnsi="仿宋" w:eastAsia="仿宋_GB2312" w:cs="仿宋"/>
          <w:b w:val="0"/>
          <w:bCs w:val="0"/>
          <w:color w:val="000000"/>
          <w:sz w:val="32"/>
          <w:szCs w:val="32"/>
          <w:bdr w:val="single" w:color="auto" w:sz="4" w:space="0"/>
          <w:shd w:val="pct10" w:color="auto" w:fill="FFFFFF"/>
        </w:rPr>
      </w:pPr>
      <w:r>
        <w:rPr>
          <w:rFonts w:hint="eastAsia" w:ascii="黑体" w:hAnsi="黑体" w:eastAsia="黑体" w:cs="黑体"/>
          <w:b w:val="0"/>
          <w:bCs w:val="0"/>
          <w:color w:val="000000"/>
          <w:sz w:val="32"/>
          <w:szCs w:val="32"/>
        </w:rPr>
        <w:t xml:space="preserve">第二十八条  </w:t>
      </w:r>
      <w:r>
        <w:rPr>
          <w:rFonts w:hint="eastAsia" w:ascii="仿宋_GB2312" w:hAnsi="仿宋" w:eastAsia="仿宋_GB2312" w:cs="黑体"/>
          <w:b w:val="0"/>
          <w:bCs w:val="0"/>
          <w:color w:val="000000"/>
          <w:sz w:val="32"/>
          <w:szCs w:val="32"/>
        </w:rPr>
        <w:t>违反本办法第二十条规定，</w:t>
      </w:r>
      <w:r>
        <w:rPr>
          <w:rFonts w:hint="eastAsia" w:ascii="仿宋_GB2312" w:hAnsi="仿宋" w:eastAsia="仿宋_GB2312" w:cs="仿宋"/>
          <w:b w:val="0"/>
          <w:bCs w:val="0"/>
          <w:color w:val="000000"/>
          <w:sz w:val="32"/>
          <w:szCs w:val="32"/>
        </w:rPr>
        <w:t>互联网服务提供者发现客户购买特定物品可能用于制作危险物品而未及时报告的，由公安机关责令改正；拒不改正的，处一万元以上五万元以下罚款，并对其直接负责的主管人员和其他直接责任人员处一千元以上五千元以下罚款；情节严重的，处五万元以上二十万元以下罚款，并对其直接负责的主管人员和其他直接责任人员处五千元以上五万元以下罚款。</w:t>
      </w:r>
    </w:p>
    <w:p>
      <w:pPr>
        <w:keepNext w:val="0"/>
        <w:keepLines w:val="0"/>
        <w:pageBreakBefore w:val="0"/>
        <w:widowControl w:val="0"/>
        <w:kinsoku/>
        <w:wordWrap/>
        <w:overflowPunct/>
        <w:topLinePunct w:val="0"/>
        <w:autoSpaceDE/>
        <w:autoSpaceDN/>
        <w:bidi w:val="0"/>
        <w:adjustRightInd/>
        <w:snapToGrid/>
        <w:spacing w:line="240" w:lineRule="auto"/>
        <w:ind w:right="0" w:firstLine="632" w:firstLineChars="200"/>
        <w:textAlignment w:val="auto"/>
        <w:rPr>
          <w:rFonts w:hint="eastAsia" w:ascii="仿宋_GB2312" w:hAnsi="仿宋" w:eastAsia="仿宋_GB2312" w:cs="仿宋"/>
          <w:b w:val="0"/>
          <w:bCs w:val="0"/>
          <w:color w:val="000000"/>
          <w:sz w:val="32"/>
          <w:szCs w:val="32"/>
        </w:rPr>
      </w:pPr>
      <w:r>
        <w:rPr>
          <w:rFonts w:hint="eastAsia" w:ascii="黑体" w:hAnsi="黑体" w:eastAsia="黑体" w:cs="黑体"/>
          <w:b w:val="0"/>
          <w:bCs w:val="0"/>
          <w:color w:val="000000"/>
          <w:sz w:val="32"/>
          <w:szCs w:val="32"/>
        </w:rPr>
        <w:t xml:space="preserve">第二十九条  </w:t>
      </w:r>
      <w:r>
        <w:rPr>
          <w:rFonts w:hint="eastAsia" w:ascii="仿宋_GB2312" w:hAnsi="仿宋" w:eastAsia="仿宋_GB2312" w:cs="仿宋"/>
          <w:b w:val="0"/>
          <w:bCs w:val="0"/>
          <w:color w:val="000000"/>
          <w:sz w:val="32"/>
          <w:szCs w:val="32"/>
        </w:rPr>
        <w:t>违反本办法第十二条、第十五条、第十六条第一款和第二款以及第十七条、第十九条规定的，分别按照《中华人民共和国反恐怖主义法》第八十八条、第八十五条、第八十六条、第八十七条处罚。</w:t>
      </w:r>
    </w:p>
    <w:p>
      <w:pPr>
        <w:keepNext w:val="0"/>
        <w:keepLines w:val="0"/>
        <w:pageBreakBefore w:val="0"/>
        <w:widowControl w:val="0"/>
        <w:kinsoku/>
        <w:wordWrap/>
        <w:overflowPunct/>
        <w:topLinePunct w:val="0"/>
        <w:autoSpaceDE/>
        <w:autoSpaceDN/>
        <w:bidi w:val="0"/>
        <w:adjustRightInd/>
        <w:snapToGrid/>
        <w:spacing w:line="240" w:lineRule="auto"/>
        <w:ind w:right="0" w:firstLine="632" w:firstLineChars="200"/>
        <w:textAlignment w:val="auto"/>
        <w:rPr>
          <w:b w:val="0"/>
          <w:bCs w:val="0"/>
          <w:color w:val="000000" w:themeColor="text1"/>
          <w:sz w:val="32"/>
          <w:szCs w:val="32"/>
          <w14:textFill>
            <w14:solidFill>
              <w14:schemeClr w14:val="tx1"/>
            </w14:solidFill>
          </w14:textFill>
        </w:rPr>
      </w:pPr>
      <w:r>
        <w:rPr>
          <w:rFonts w:hint="eastAsia" w:ascii="黑体" w:hAnsi="黑体" w:eastAsia="黑体" w:cs="黑体"/>
          <w:b w:val="0"/>
          <w:bCs w:val="0"/>
          <w:color w:val="000000"/>
          <w:sz w:val="32"/>
          <w:szCs w:val="32"/>
        </w:rPr>
        <w:t xml:space="preserve">第三十条  </w:t>
      </w:r>
      <w:r>
        <w:rPr>
          <w:rFonts w:hint="eastAsia" w:ascii="仿宋_GB2312" w:hAnsi="仿宋" w:eastAsia="仿宋_GB2312" w:cs="仿宋"/>
          <w:b w:val="0"/>
          <w:bCs w:val="0"/>
          <w:color w:val="000000"/>
          <w:sz w:val="32"/>
          <w:szCs w:val="32"/>
        </w:rPr>
        <w:t>本办法自2020年9月1日起施行。</w:t>
      </w:r>
      <w:bookmarkStart w:id="0" w:name="_GoBack"/>
      <w:bookmarkEnd w:id="0"/>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方正宋体S-超大字符集(SIP)"/>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方正小标宋_GBK">
    <w:panose1 w:val="02000000000000000000"/>
    <w:charset w:val="86"/>
    <w:family w:val="script"/>
    <w:pitch w:val="default"/>
    <w:sig w:usb0="00000001" w:usb1="0800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方正宋体S-超大字符集(SIP)">
    <w:panose1 w:val="03000509000000000000"/>
    <w:charset w:val="86"/>
    <w:family w:val="auto"/>
    <w:pitch w:val="default"/>
    <w:sig w:usb0="00000003" w:usb1="0A0E08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xml:space="preserve">－ </w:t>
    </w:r>
    <w:r>
      <w:rPr>
        <w:rFonts w:ascii="宋体" w:hAnsi="宋体" w:eastAsia="宋体"/>
        <w:sz w:val="28"/>
        <w:szCs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firstLine="140" w:firstLineChars="50"/>
      <w:rPr>
        <w:rFonts w:hint="eastAsia" w:ascii="宋体" w:hAnsi="宋体" w:eastAsia="宋体"/>
        <w:sz w:val="28"/>
        <w:szCs w:val="28"/>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B318074"/>
    <w:multiLevelType w:val="singleLevel"/>
    <w:tmpl w:val="5B318074"/>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true"/>
  <w:bordersDoNotSurroundFooter w:val="true"/>
  <w:doNotTrackMoves/>
  <w:documentProtection w:enforcement="0"/>
  <w:defaultTabStop w:val="420"/>
  <w:evenAndOddHeaders w:val="true"/>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2434D9"/>
    <w:rsid w:val="002447F6"/>
    <w:rsid w:val="00247B39"/>
    <w:rsid w:val="002E3D11"/>
    <w:rsid w:val="002F77E5"/>
    <w:rsid w:val="00307CD3"/>
    <w:rsid w:val="00315BE5"/>
    <w:rsid w:val="00353AD7"/>
    <w:rsid w:val="003A0332"/>
    <w:rsid w:val="003F636B"/>
    <w:rsid w:val="0044207F"/>
    <w:rsid w:val="004D5710"/>
    <w:rsid w:val="004F542C"/>
    <w:rsid w:val="00550A4A"/>
    <w:rsid w:val="005667BC"/>
    <w:rsid w:val="005A4A7E"/>
    <w:rsid w:val="005C49EF"/>
    <w:rsid w:val="005F0A94"/>
    <w:rsid w:val="00610663"/>
    <w:rsid w:val="00616EB4"/>
    <w:rsid w:val="006A6786"/>
    <w:rsid w:val="006B2EDC"/>
    <w:rsid w:val="006D3381"/>
    <w:rsid w:val="006E600C"/>
    <w:rsid w:val="00785C4E"/>
    <w:rsid w:val="007A6644"/>
    <w:rsid w:val="008503CF"/>
    <w:rsid w:val="00867A37"/>
    <w:rsid w:val="008A10A6"/>
    <w:rsid w:val="00937399"/>
    <w:rsid w:val="009D4E62"/>
    <w:rsid w:val="00A07177"/>
    <w:rsid w:val="00A87604"/>
    <w:rsid w:val="00B12059"/>
    <w:rsid w:val="00B32293"/>
    <w:rsid w:val="00BB0938"/>
    <w:rsid w:val="00BC1DEF"/>
    <w:rsid w:val="00BC4088"/>
    <w:rsid w:val="00BF378A"/>
    <w:rsid w:val="00C16EFC"/>
    <w:rsid w:val="00C97FAE"/>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72984"/>
    <w:rsid w:val="00F7674E"/>
    <w:rsid w:val="00F97604"/>
    <w:rsid w:val="00FA7EE2"/>
    <w:rsid w:val="00FD0030"/>
    <w:rsid w:val="0FAA2EF5"/>
    <w:rsid w:val="17FFC4A3"/>
  </w:rsids>
  <m:mathPr>
    <m:mathFont m:val="Cambria Math"/>
    <m:brkBin m:val="before"/>
    <m:brkBinSub m:val="--"/>
    <m:smallFrac m:val="0"/>
    <m:dispDef/>
    <m:lMargin m:val="0"/>
    <m:rMargin m:val="0"/>
    <m:defJc m:val="centerGroup"/>
    <m:wrapRight m:val="1"/>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ody Text"/>
    <w:basedOn w:val="1"/>
    <w:qFormat/>
    <w:uiPriority w:val="0"/>
    <w:pPr>
      <w:spacing w:after="120"/>
    </w:pPr>
    <w:rPr>
      <w:rFonts w:ascii="Times New Roman" w:hAnsi="Times New Roman" w:eastAsia="仿宋_GB2312"/>
      <w:snapToGrid w:val="0"/>
      <w:kern w:val="0"/>
      <w:sz w:val="32"/>
    </w:rPr>
  </w:style>
  <w:style w:type="paragraph" w:styleId="3">
    <w:name w:val="footer"/>
    <w:basedOn w:val="1"/>
    <w:link w:val="12"/>
    <w:unhideWhenUsed/>
    <w:qFormat/>
    <w:uiPriority w:val="99"/>
    <w:pPr>
      <w:tabs>
        <w:tab w:val="center" w:pos="4153"/>
        <w:tab w:val="right" w:pos="8306"/>
      </w:tabs>
      <w:snapToGrid w:val="0"/>
      <w:jc w:val="left"/>
    </w:pPr>
    <w:rPr>
      <w:sz w:val="18"/>
      <w:szCs w:val="18"/>
    </w:rPr>
  </w:style>
  <w:style w:type="paragraph" w:styleId="4">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qFormat/>
    <w:uiPriority w:val="0"/>
    <w:pPr>
      <w:widowControl/>
      <w:spacing w:before="100" w:beforeAutospacing="1" w:after="100" w:afterAutospacing="1"/>
      <w:jc w:val="left"/>
    </w:pPr>
    <w:rPr>
      <w:rFonts w:ascii="宋体" w:eastAsia="宋体" w:cs="宋体"/>
      <w:kern w:val="0"/>
      <w:sz w:val="24"/>
      <w:szCs w:val="24"/>
      <w:lang w:bidi="ar-SA"/>
    </w:rPr>
  </w:style>
  <w:style w:type="character" w:styleId="8">
    <w:name w:val="page number"/>
    <w:basedOn w:val="7"/>
    <w:qFormat/>
    <w:uiPriority w:val="0"/>
  </w:style>
  <w:style w:type="character" w:styleId="9">
    <w:name w:val="FollowedHyperlink"/>
    <w:semiHidden/>
    <w:unhideWhenUsed/>
    <w:qFormat/>
    <w:uiPriority w:val="99"/>
    <w:rPr>
      <w:color w:val="954F72"/>
      <w:u w:val="single"/>
    </w:rPr>
  </w:style>
  <w:style w:type="character" w:styleId="10">
    <w:name w:val="Hyperlink"/>
    <w:qFormat/>
    <w:uiPriority w:val="99"/>
    <w:rPr>
      <w:rFonts w:hint="default" w:ascii="ˎ̥" w:hAnsi="ˎ̥"/>
      <w:color w:val="0404B3"/>
      <w:sz w:val="18"/>
      <w:szCs w:val="18"/>
      <w:u w:val="none"/>
    </w:rPr>
  </w:style>
  <w:style w:type="character" w:customStyle="1" w:styleId="11">
    <w:name w:val="页眉 字符"/>
    <w:link w:val="4"/>
    <w:qFormat/>
    <w:uiPriority w:val="99"/>
    <w:rPr>
      <w:sz w:val="18"/>
      <w:szCs w:val="18"/>
    </w:rPr>
  </w:style>
  <w:style w:type="character" w:customStyle="1" w:styleId="12">
    <w:name w:val="页脚 字符"/>
    <w:link w:val="3"/>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Words>
  <Characters>45</Characters>
  <Lines>1</Lines>
  <Paragraphs>1</Paragraphs>
  <TotalTime>5</TotalTime>
  <ScaleCrop>false</ScaleCrop>
  <LinksUpToDate>false</LinksUpToDate>
  <CharactersWithSpaces>51</CharactersWithSpaces>
  <Application>WPS Office_11.8.2.9520_F1E327BC-269C-435d-A152-05C5408002CA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lenovo</cp:lastModifiedBy>
  <dcterms:modified xsi:type="dcterms:W3CDTF">2020-08-07T15:38:12Z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2052-11.8.2.9520</vt:lpwstr>
  </property>
</Properties>
</file>