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宋体" w:hAnsi="宋体" w:cs="宋体"/>
          <w:sz w:val="44"/>
          <w:szCs w:val="44"/>
        </w:rPr>
      </w:pPr>
      <w:r>
        <w:rPr>
          <w:rFonts w:hint="eastAsia" w:ascii="宋体" w:hAnsi="宋体" w:eastAsia="宋体" w:cs="宋体"/>
          <w:sz w:val="44"/>
          <w:szCs w:val="44"/>
        </w:rPr>
        <w:t>湖南省实施《中华人民共和国港口法》办法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（2007年7月28日湖南省第十届人民代表大会常务委员会第二十八次会议通过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根据2022年5月26日湖南省第十三届人民代表大会常务委员会第三十一次会议《关于修改〈湖南省水能资源开发利用管理条例〉等九件地方性法规的决定》第一次修正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根据2023年5月31日湖南省第十四届人民代表大会常务委员会第三次会议《关于废止、修改部分地方性法规的决定》第二次修正）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仿宋_GB2312" w:hAnsi="仿宋_GB2312" w:eastAsia="仿宋_GB2312" w:cs="仿宋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港口规划与建设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港口经营</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港口安全与监督管理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根据《中华人民共和国港口法》，结合本省实际，制定本办法。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在本省行政区域内从事港口规划、建设、维护、经营、管理及其相关活动，应当遵守本办法。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省和有关设区的市、自治州、县（市）人民政府应当在国民经济和社会发展计划中体现港口的发展和规划要求，并依法保护和合理利用港口资源。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县级以上人民政府交通行政主管部门主管本辖区内的港口工作，其所属的港口管理机构负责港口行政管理的具体工作。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县级以上人民政府其他有关部门按照各自职责做好港口的相关行政管理工作。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港口建设、经营实行谁投资、谁受益的原则。鼓励国内外经济组织和个人投资建设、经营港口，并保护其合法权益。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第二章</w:t>
      </w:r>
      <w:r>
        <w:rPr>
          <w:rFonts w:hint="eastAsia" w:ascii="黑体" w:hAnsi="黑体" w:eastAsia="黑体" w:cs="黑体"/>
          <w:sz w:val="32"/>
          <w:szCs w:val="32"/>
          <w:lang w:eastAsia="zh-CN"/>
        </w:rPr>
        <w:t>　</w:t>
      </w:r>
      <w:r>
        <w:rPr>
          <w:rFonts w:hint="eastAsia" w:ascii="黑体" w:hAnsi="黑体" w:eastAsia="黑体" w:cs="黑体"/>
          <w:sz w:val="32"/>
          <w:szCs w:val="32"/>
        </w:rPr>
        <w:t>港口规划与建设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港口规划包括港口布局规划和港口总体规划。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全省港口布局规划，由省人民政府根据全国港口布局规划组织编制，具体工作由省人民政府交通行政主管部门负责。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主要港口的总体规划由设区的市人民政府交通行政主管部门编制，重要港口的总体规划由港口所在地设区的市、自治州或者县（市）人民政府交通行政主管部门编制。主要港口和重要港口以外的港口总体规划，由港口所在地设区的市、自治州或者县（市）人民政府交通行政主管部门编制。主要港口和重要港口的总体规划，在报请批准前须经本级人民政府审核同意并逐级报省人民政府交通行政主管部门审核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港口规划应当符合城镇体系规划，并与法律法规规定的有关规划相衔接、协调。编制土地利用总体规划、城市总体规划、江河流域规划、防洪规划，应当征求港口所在地人民政府交通行政主管部门的意见。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新建、改建、扩建港口设施应当符合港口规划。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港口设施的征收、拆迁，应当按照国家和省有关规定给予港口设施所有人或者经营人补偿；影响港口规划实施的，由作出征收、拆迁决定的人民政府征求其上一级人民政府的交通行政主管部门的意见。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港口总体规划区内新建、改建、扩建港口设施使用港口岸线的，应当在项目批准立项前依法申请办理岸线使用审批手续。在原批准的港口岸线内改建、扩建港口设施，不变更港口岸线使用人和港口岸线用途的，不需重新办理港口岸线使用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申请使用港口岸线，应当向港口所在地港口管理机构提交下列材料：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（一）港口岸线使用申请书，包括岸线的使用人、使用范围、使用期限、使用功能等内容；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（二）法人证明及法定代表人身份证明；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（三）由法定机构审定的有关港口岸线地</w:t>
      </w:r>
      <w:r>
        <w:rPr>
          <w:rFonts w:hint="default" w:ascii="Times New Roman" w:hAnsi="Times New Roman" w:eastAsia="仿宋_GB2312" w:cs="Times New Roman"/>
          <w:sz w:val="32"/>
          <w:szCs w:val="32"/>
        </w:rPr>
        <w:t>段的1∶500至1∶</w:t>
      </w:r>
      <w:r>
        <w:rPr>
          <w:rFonts w:hint="default" w:ascii="Times New Roman" w:hAnsi="Times New Roman" w:eastAsia="仿宋_GB2312" w:cs="Times New Roman"/>
          <w:sz w:val="32"/>
          <w:szCs w:val="32"/>
        </w:rPr>
        <w:t>2000的地形图；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（四）使用港口岸线对其他建设项目、防洪、航道及环境可能产生影响的论证、评价报告；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（五）建设项目可行性研究报告；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所在地的港口管理机构，应当自收到申请人提交的使用港口非深水岸线的书面申请和相关材料之日起二十日内审查完毕，并报省港口管理机构。省港口管理机构应当自收到材料之日起二十日内作出准予许可或者不予许可的决定。准予许可的，颁发《港口岸线使用证》，并向社会公布；不予许可的，应当将不予许可的理由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所在地的港口管理机构收到申请人提交的使用深水岸线的书面申请和相关材料后，应当及时提出审查意见，报省人民政府交通行政主管部门。省人民政府交通行政主管部门应当自收到相关材料和审查意见之日起二十日内审查完毕，并按规定报国务院交通行政主管部门和有关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港口管理机构应当根据有关法律法规和国家技术标准以及合理利用港口岸线的原则，结合港口规划的要求和港口岸线使用人正常运营的需要，确定港口岸线使用长度。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危险品码头、客运码头、渡口码头等设施使用港口岸线的长度，应当不短于国家和省规定的保护控制长度。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港口岸线使用人应当按照批准的范围、用途及期限使用港口岸线，不得擅自转让使用权；需要变更使用权人、用途或者范围的，应当向原许可机关申请办理变更手续。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港口岸线使用人使用岸线不得有损坏堤防设施、设置碍航设施等违反法律法规的行为。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取得港口非深水岸线使用权的单位或者个人，应当自批准使用港口岸线之日起二年内开发建设，使用岸线；非因不可抗力逾期未开发建设、使用岸线的，由审批机关收回港口岸线使用权。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取得深水岸线使用权的单位或者个人有前款规定的情况的，按照国家有关规定处理。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港口设施建设工程必须具备国务院交通行政主管部门规定的施工条件，由建设单位向县级以上人民政府交通行政主管部门申请办理施工许可后，方可进行施工。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交通行政主管部门应当加强港口设施建设工程质量和施工安全监督管理。水运工程质量监督机构和水运工程安全监督机构受交通行政主管部门的委托，分别负责港口设施建设工程质量和施工安全监督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港口设施建设工程竣工后应当进行试运行。具备国家规定的竣工验收条件的，按照审批权限向县级以上人民政府交通行政主管部门提出竣工验收申请。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在规划港区内不得建设影响港口规划实施的永久性建筑物、构筑物。县级以上人民政府规划行政主管部门审批可能影响港口规划实施的建设项目时，应当听取港口管理机构的意见。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港口管理机构应当加强港口公用基础设施的维护、管理。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县级以上有关人民政府应当在年度财政预算中安排必要的资金，用于港口公用航道、锚地等基础设施的建设和维护。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县级以上有关人民政府应当加强对政府投资建设的港口设施的监督管理，促进国有财产保值增值，防止国有财产损失。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第三章</w:t>
      </w:r>
      <w:r>
        <w:rPr>
          <w:rFonts w:hint="eastAsia" w:ascii="黑体" w:hAnsi="黑体" w:eastAsia="黑体" w:cs="黑体"/>
          <w:sz w:val="32"/>
          <w:szCs w:val="32"/>
          <w:lang w:eastAsia="zh-CN"/>
        </w:rPr>
        <w:t>　</w:t>
      </w:r>
      <w:r>
        <w:rPr>
          <w:rFonts w:hint="eastAsia" w:ascii="黑体" w:hAnsi="黑体" w:eastAsia="黑体" w:cs="黑体"/>
          <w:sz w:val="32"/>
          <w:szCs w:val="32"/>
        </w:rPr>
        <w:t>港口经营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从事港口经营，应当向港口所在地的港口管理机构提出书面申请，取得由设区的市、自治州港口管理机构颁发的《港口经营许可证》。取得港口经营许可的条件、程序按照国务院交通行政主管部门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港口经营人变更企业法定代表人、经营范围的，应当向原许可机关办理变更登记手续。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港口经营人从事危险货物港口作业，应当按照有关法律、行政法规和国务院交通行政主管部门的规定，向设区的市、自治州港口管理机构申请危险货物港口作业资质认定，取得《危险货物港口作业认可证》。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港口经营人应当按照港口管理机构许可的经营范围从事港口经营活动，并接受港口管理机构的监督检查。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港口经营人不得经营水路货物运输服务业务。水路货物运输服务经营人不得从事港口经营。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港口经营应当遵循公正、公平和诚实信用的原则，不得采取不正当手段排挤竞争对手，不得以任何手段强迫他人接受其提供的港口服务。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港口经营性收费，依法实行政府指导价或者政府定价的，由省人民政府价格行政主管部门会同省交通行政主管部门制定收费标准。港口经营人应当在经营场所公布确定的港口经营性收费项目和标准。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港口经营人应当优先安排防汛、抢险救灾物资和国防建设急需物资的作业，因此造成港口经营人损失的，由下达任务的单位给予相应的经济补偿。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港口管理机构应当按照有关法律法规的规定做好港口的统计工作，并根据港口发展需要，适时开展港口统计调查。港口管理机构应当为港口经营人保守商业秘密。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港口经营人应当依法及时、准确填报统计报表、提供统计调查资料。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第四章</w:t>
      </w:r>
      <w:r>
        <w:rPr>
          <w:rFonts w:hint="eastAsia" w:ascii="黑体" w:hAnsi="黑体" w:eastAsia="黑体" w:cs="黑体"/>
          <w:sz w:val="32"/>
          <w:szCs w:val="32"/>
          <w:lang w:eastAsia="zh-CN"/>
        </w:rPr>
        <w:t>　</w:t>
      </w:r>
      <w:r>
        <w:rPr>
          <w:rFonts w:hint="eastAsia" w:ascii="黑体" w:hAnsi="黑体" w:eastAsia="黑体" w:cs="黑体"/>
          <w:sz w:val="32"/>
          <w:szCs w:val="32"/>
        </w:rPr>
        <w:t>港口安全与监督管理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县级以上人民政府应当加强港口安全监督管理工作，保证港口安全监督管理必要的经费，解决港口安全管理工作中的重大问题。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县级以上人民政府交通行政主管部门应当履行港口安全监督管理职责；港口管理机构具体负责港口安全生产的监督管理工作，制止和查处危害港口安全的行为。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海事管理机构按照国家有关规定实施港口通航水域的安全监督。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县级以上人民政府安全生产监督管理部门和其他有关部门应当按照各自职责，加强对港口安全的监督管理。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港口经营人对经营范围内的港口安全生产负直接责任。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港口经营人应当加强对港口设施、设备、作业现场及人员的管理，落实岗位安全责任制，保证作业安全。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港口经营人应当依法制定危险货物事故应急预案、重大生产安全事故旅客紧急疏散和救援预案以及预防自然灾害预案，并报港口管理机构和安全生产监督部门备案。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港口经营人应当按照有关规定合理使用港口设施，并进行维护和更新，保证港口设施正常运行并符合安全生产的要求。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港口的新建、改建、扩建和技术改造，应当按照国家有关规定进行港口建设项目安全预评价、安全验收评价。港口生产经营单位应当按照国家有关规定进行安全现状评价和专项安全评价。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港口危险货物装卸和储存场所，应当设置专用作业区域，与其他作业区域留有符合规定的间隔距离，并设置明显的警示标志。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禁止在港口水域内从事捕捞、采掘、养殖、种植活动。禁止向港口水域倾倒泥土、砂石以及违反有关环境保护的法律、法规的规定排放超过规定标准的有毒、有害物质。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港区内发生洪灾、火灾、爆炸等紧急情况，港口经营人和港口管理机构应当启动应急预案，当地人民政府应当及时组织相关部门实施应急处置和救援。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港口行政事业性收费由各级港口管理机构负责执收，缴费义务人必须按时足额缴纳。港口行政事业性收费的种类、标准及管理办法，按照国家和省有关规定执行。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港口管理机构不得擅自提高行政事业性收费标准或者重复收费。缴费义务人有权拒绝缴纳违规收费，并对违规收费行为进行举报。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违反本办法规定的，由有管辖权的港口管理机构按照下列规定予以处理：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反本办法第九条、第十三条第一款规定，未经许可使用港口岸线或者擅自变更港口岸线的使用权人、用途或者范围的，责令限期改正；对违法建筑物，责令限期拆除、恢复原状；逾期未拆除的，申请人民法院强制拆除，可以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（二）违反本办法第十八条规定，在规划港区内建设影响港口规划实施的永久性建筑物、构筑物的，责令限期拆除，恢复原状；逾期未拆除的，申请人民法院强制拆除，可以处一万元以上五万元以下罚款；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（三）违反本办法第二十一条第二款规定，港口经营人变更企业法定代表人、经营范围不向原许可机关办理变更登记手续的，责令限期改正；逾期不改正的，处五千元以下罚款。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取得港口经营许可证的经营人不再具备法定许可条件继续经营的，由有管辖权的港口管理机构责令限期整改；逾期仍未达到法定条件的，责令停止经营活动，并吊销港口经营许可证。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县级以上人民政府交通行政主管部门和其他有关部门、港口管理机构有下列行为之一的，对直接负责的主管人员和其他直接责任人员依法给予行政处分；构成犯罪的，依法追究刑事责任：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（一）违法许可使用港口岸线的；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（二）在港区内发生洪灾、火灾、爆炸等紧急情况时，不服从当地人民政府组织和调度的；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（三）未依法履行本办法规定的其他职责并造成严重后果的。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违反本办法规定的其他行为，有关法律法规规定处罚的，从其规定。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ascii="黑体" w:hAnsi="黑体" w:eastAsia="黑体" w:cs="黑体"/>
          <w:sz w:val="32"/>
          <w:szCs w:val="32"/>
        </w:rPr>
      </w:pPr>
      <w:r>
        <w:rPr>
          <w:rFonts w:ascii="黑体" w:hAnsi="黑体" w:eastAsia="黑体" w:cs="黑体"/>
          <w:kern w:val="2"/>
          <w:sz w:val="32"/>
          <w:szCs w:val="32"/>
          <w:lang w:val="en-US" w:eastAsia="zh-CN" w:bidi="ar-SA"/>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本办法下列用语的含义：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（一）港区包括水域和陆域。水域为设计洪水位以下的岸坡、滩地及其至主航道的水面、水下和水上架空。陆域为设计洪水位以上依法划定的土地和岸线。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（二）港口岸线：是指在港区内处于自然或者经人工改造的用于建设港航设施或者其他生产经营设施所占用的特定水域和陆域。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港口深水岸线：是指适宜建设千吨级及以上泊位的港口岸线（含维持其正常运营所需的相关水域和陆域）。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港口非深水岸线：是指适宜建设千吨级以下泊位的港口岸线。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（三）水路货物运输服务业务是指接受托运人、收货人以及承运人的委托，以委托人的名义，为委托人办理货物运输、港口作业以及其他相关的手续。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军事港口和渔业港口不适用本办法。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w:t>
      </w:r>
      <w:r>
        <w:rPr>
          <w:rFonts w:hint="default" w:ascii="Times New Roman" w:hAnsi="Times New Roman" w:eastAsia="仿宋_GB2312" w:cs="Times New Roman"/>
          <w:sz w:val="32"/>
          <w:szCs w:val="32"/>
        </w:rPr>
        <w:t>办法</w:t>
      </w:r>
      <w:bookmarkStart w:id="0" w:name="_GoBack"/>
      <w:bookmarkEnd w:id="0"/>
      <w:r>
        <w:rPr>
          <w:rFonts w:hint="default" w:ascii="Times New Roman" w:hAnsi="Times New Roman" w:eastAsia="仿宋_GB2312" w:cs="Times New Roman"/>
          <w:sz w:val="32"/>
          <w:szCs w:val="32"/>
        </w:rPr>
        <w:t>自2007年10月1日</w:t>
      </w:r>
      <w:r>
        <w:rPr>
          <w:rFonts w:hint="eastAsia" w:ascii="仿宋_GB2312" w:hAnsi="仿宋_GB2312" w:eastAsia="仿宋_GB2312" w:cs="仿宋_GB2312"/>
          <w:sz w:val="32"/>
          <w:szCs w:val="32"/>
        </w:rPr>
        <w:t>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9A34AE0"/>
    <w:rsid w:val="0A2C751F"/>
    <w:rsid w:val="0D9804AC"/>
    <w:rsid w:val="0E834297"/>
    <w:rsid w:val="16020721"/>
    <w:rsid w:val="1D020000"/>
    <w:rsid w:val="1D1800F3"/>
    <w:rsid w:val="1E085DDD"/>
    <w:rsid w:val="2C377D1A"/>
    <w:rsid w:val="2D7E49BF"/>
    <w:rsid w:val="31EF4857"/>
    <w:rsid w:val="368340BC"/>
    <w:rsid w:val="39D14AE0"/>
    <w:rsid w:val="3C460065"/>
    <w:rsid w:val="3DE63740"/>
    <w:rsid w:val="3FAE701D"/>
    <w:rsid w:val="43FB5812"/>
    <w:rsid w:val="455E224D"/>
    <w:rsid w:val="48014AA3"/>
    <w:rsid w:val="481351D2"/>
    <w:rsid w:val="4A54660D"/>
    <w:rsid w:val="4DDA6BF5"/>
    <w:rsid w:val="53543565"/>
    <w:rsid w:val="53C25DCC"/>
    <w:rsid w:val="558A062C"/>
    <w:rsid w:val="55D77440"/>
    <w:rsid w:val="61B336CF"/>
    <w:rsid w:val="622F12CF"/>
    <w:rsid w:val="64F46001"/>
    <w:rsid w:val="666756D4"/>
    <w:rsid w:val="6C2D6920"/>
    <w:rsid w:val="6EA602A9"/>
    <w:rsid w:val="722D3F99"/>
    <w:rsid w:val="72F625E1"/>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outlineLvl w:val="0"/>
    </w:pPr>
    <w:rPr>
      <w:rFonts w:eastAsia="方正楷体简体"/>
      <w:b/>
      <w:bCs/>
      <w:kern w:val="44"/>
      <w:szCs w:val="44"/>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7">
    <w:name w:val="Title"/>
    <w:basedOn w:val="1"/>
    <w:next w:val="1"/>
    <w:qFormat/>
    <w:uiPriority w:val="10"/>
    <w:pPr>
      <w:ind w:firstLine="0" w:firstLineChars="0"/>
      <w:jc w:val="center"/>
      <w:outlineLvl w:val="0"/>
    </w:pPr>
    <w:rPr>
      <w:rFonts w:eastAsia="方正小标宋简体"/>
      <w:bCs/>
      <w:sz w:val="44"/>
      <w:szCs w:val="32"/>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4"/>
    <w:qFormat/>
    <w:uiPriority w:val="99"/>
    <w:rPr>
      <w:sz w:val="18"/>
      <w:szCs w:val="18"/>
    </w:rPr>
  </w:style>
  <w:style w:type="character" w:customStyle="1" w:styleId="13">
    <w:name w:val="页眉 字符"/>
    <w:link w:val="5"/>
    <w:qFormat/>
    <w:uiPriority w:val="99"/>
    <w:rPr>
      <w:sz w:val="18"/>
      <w:szCs w:val="18"/>
    </w:rPr>
  </w:style>
  <w:style w:type="character" w:customStyle="1" w:styleId="14">
    <w:name w:val="16"/>
    <w:basedOn w:val="9"/>
    <w:qFormat/>
    <w:uiPriority w:val="0"/>
    <w:rPr>
      <w:rFonts w:hint="default" w:ascii="Calibri" w:hAnsi="Calibri"/>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4861</Words>
  <Characters>4882</Characters>
  <Lines>1</Lines>
  <Paragraphs>1</Paragraphs>
  <TotalTime>3</TotalTime>
  <ScaleCrop>false</ScaleCrop>
  <LinksUpToDate>false</LinksUpToDate>
  <CharactersWithSpaces>4947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2023-08-23T11:14:40Z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