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autoSpaceDE/>
        <w:autoSpaceDN/>
        <w:bidi w:val="0"/>
        <w:adjustRightInd/>
        <w:snapToGrid/>
        <w:spacing w:after="0" w:line="240" w:lineRule="auto"/>
        <w:textAlignment w:val="auto"/>
        <w:rPr>
          <w:rFonts w:hint="eastAsia" w:ascii="宋体" w:hAnsi="宋体" w:eastAsia="宋体" w:cs="宋体"/>
        </w:rPr>
      </w:pPr>
    </w:p>
    <w:p>
      <w:pPr>
        <w:pStyle w:val="3"/>
        <w:keepNext w:val="0"/>
        <w:keepLines w:val="0"/>
        <w:pageBreakBefore w:val="0"/>
        <w:widowControl w:val="0"/>
        <w:kinsoku/>
        <w:wordWrap/>
        <w:overflowPunct/>
        <w:autoSpaceDE/>
        <w:autoSpaceDN/>
        <w:bidi w:val="0"/>
        <w:adjustRightInd/>
        <w:snapToGrid/>
        <w:spacing w:after="0" w:line="240" w:lineRule="auto"/>
        <w:textAlignment w:val="auto"/>
        <w:rPr>
          <w:rFonts w:hint="eastAsia"/>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湖南省实施《中华人民共和国红十字会法》</w:t>
      </w: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办法</w:t>
      </w:r>
    </w:p>
    <w:p>
      <w:pPr>
        <w:pStyle w:val="2"/>
        <w:spacing w:after="0"/>
        <w:jc w:val="left"/>
        <w:rPr>
          <w:rFonts w:hint="eastAsia" w:asciiTheme="minorEastAsia" w:hAnsiTheme="minorEastAsia" w:eastAsiaTheme="minorEastAsia" w:cstheme="minorEastAsia"/>
          <w:sz w:val="32"/>
          <w:szCs w:val="32"/>
        </w:rPr>
      </w:pPr>
    </w:p>
    <w:p>
      <w:pPr>
        <w:pStyle w:val="6"/>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黑体" w:eastAsia="楷体_GB2312" w:cs="黑体"/>
          <w:bCs/>
          <w:color w:val="000000"/>
          <w:szCs w:val="32"/>
        </w:rPr>
      </w:pPr>
      <w:r>
        <w:rPr>
          <w:rFonts w:hint="default" w:ascii="Times New Roman" w:hAnsi="Times New Roman" w:eastAsia="楷体_GB2312" w:cs="Times New Roman"/>
          <w:bCs/>
          <w:spacing w:val="-8"/>
          <w:szCs w:val="32"/>
        </w:rPr>
        <w:t>（1996年8月5日湖南省第八届人民代表大会常务委员会第二十三次会议通过</w:t>
      </w:r>
      <w:r>
        <w:rPr>
          <w:rFonts w:hint="default" w:ascii="Times New Roman" w:hAnsi="Times New Roman" w:eastAsia="楷体_GB2312" w:cs="Times New Roman"/>
          <w:bCs/>
          <w:spacing w:val="-8"/>
          <w:szCs w:val="32"/>
          <w:lang w:eastAsia="zh-CN"/>
        </w:rPr>
        <w:t>　</w:t>
      </w:r>
      <w:r>
        <w:rPr>
          <w:rFonts w:hint="default" w:ascii="Times New Roman" w:hAnsi="Times New Roman" w:eastAsia="楷体_GB2312" w:cs="Times New Roman"/>
          <w:bCs/>
          <w:spacing w:val="-8"/>
          <w:szCs w:val="32"/>
        </w:rPr>
        <w:t>根据2010年7月29日湖南省第十一届人民代表大会常务委员会第十七次会议《关于修改部分地方性法规的决定》第一次修正</w:t>
      </w:r>
      <w:r>
        <w:rPr>
          <w:rFonts w:hint="default" w:ascii="Times New Roman" w:hAnsi="Times New Roman" w:eastAsia="楷体_GB2312" w:cs="Times New Roman"/>
          <w:bCs/>
          <w:spacing w:val="-8"/>
          <w:szCs w:val="32"/>
          <w:lang w:eastAsia="zh-CN"/>
        </w:rPr>
        <w:t>　</w:t>
      </w:r>
      <w:r>
        <w:rPr>
          <w:rFonts w:hint="default" w:ascii="Times New Roman" w:hAnsi="Times New Roman" w:eastAsia="楷体_GB2312" w:cs="Times New Roman"/>
          <w:bCs/>
          <w:spacing w:val="-8"/>
          <w:szCs w:val="32"/>
        </w:rPr>
        <w:t>根据2020年11月27日湖南省第十三届人民代表大会常务委员会第二十一次会议《关于修改</w:t>
      </w:r>
      <w:r>
        <w:rPr>
          <w:rFonts w:hint="eastAsia" w:ascii="Times New Roman" w:hAnsi="Times New Roman" w:eastAsia="楷体_GB2312" w:cs="Times New Roman"/>
          <w:bCs/>
          <w:spacing w:val="-8"/>
          <w:szCs w:val="32"/>
          <w:lang w:eastAsia="zh-CN"/>
        </w:rPr>
        <w:t>〈</w:t>
      </w:r>
      <w:r>
        <w:rPr>
          <w:rFonts w:hint="default" w:ascii="Times New Roman" w:hAnsi="Times New Roman" w:eastAsia="楷体_GB2312" w:cs="Times New Roman"/>
          <w:bCs/>
          <w:spacing w:val="-8"/>
          <w:szCs w:val="32"/>
        </w:rPr>
        <w:t>湖南省实施《中华人民共和国义务教育法》办法</w:t>
      </w:r>
      <w:r>
        <w:rPr>
          <w:rFonts w:hint="eastAsia" w:ascii="Times New Roman" w:hAnsi="Times New Roman" w:eastAsia="楷体_GB2312" w:cs="Times New Roman"/>
          <w:bCs/>
          <w:spacing w:val="-8"/>
          <w:szCs w:val="32"/>
          <w:lang w:eastAsia="zh-CN"/>
        </w:rPr>
        <w:t>〉</w:t>
      </w:r>
      <w:bookmarkStart w:id="2" w:name="_GoBack"/>
      <w:bookmarkEnd w:id="2"/>
      <w:r>
        <w:rPr>
          <w:rFonts w:hint="default" w:ascii="Times New Roman" w:hAnsi="Times New Roman" w:eastAsia="楷体_GB2312" w:cs="Times New Roman"/>
          <w:bCs/>
          <w:spacing w:val="-8"/>
          <w:szCs w:val="32"/>
        </w:rPr>
        <w:t>等八件地方性法规的决定》第二次修正</w:t>
      </w:r>
      <w:r>
        <w:rPr>
          <w:rFonts w:hint="default" w:ascii="Times New Roman" w:hAnsi="Times New Roman" w:eastAsia="楷体_GB2312" w:cs="Times New Roman"/>
          <w:bCs/>
          <w:spacing w:val="-8"/>
          <w:szCs w:val="32"/>
          <w:lang w:eastAsia="zh-CN"/>
        </w:rPr>
        <w:t>　</w:t>
      </w:r>
      <w:r>
        <w:rPr>
          <w:rFonts w:hint="default" w:ascii="Times New Roman" w:hAnsi="Times New Roman" w:eastAsia="楷体_GB2312" w:cs="Times New Roman"/>
          <w:bCs/>
          <w:spacing w:val="-8"/>
          <w:szCs w:val="32"/>
        </w:rPr>
        <w:t>2023年7月27日湖南省第十四届人民代表大会常务委员会第四次会议修订）</w:t>
      </w:r>
    </w:p>
    <w:p>
      <w:pPr>
        <w:topLinePunct/>
        <w:ind w:firstLine="632" w:firstLineChars="200"/>
        <w:jc w:val="left"/>
        <w:rPr>
          <w:rFonts w:hint="eastAsia" w:asciiTheme="minorEastAsia" w:hAnsiTheme="minorEastAsia" w:eastAsiaTheme="minorEastAsia" w:cstheme="minorEastAsia"/>
          <w:bCs/>
          <w:color w:val="000000"/>
          <w:sz w:val="32"/>
          <w:szCs w:val="32"/>
        </w:rPr>
      </w:pP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shd w:val="clear" w:color="FFFFFF" w:fill="D9D9D9"/>
        </w:rPr>
      </w:pPr>
      <w:r>
        <w:rPr>
          <w:rFonts w:hint="eastAsia" w:ascii="黑体" w:hAnsi="黑体" w:eastAsia="黑体" w:cs="黑体"/>
          <w:bCs/>
          <w:color w:val="000000"/>
          <w:sz w:val="32"/>
          <w:szCs w:val="32"/>
        </w:rPr>
        <w:t>第一</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rPr>
        <w:t>根据《中华人民共和国红十字会法》和其他有关法律、行政法规，结合本省实际，制定本办法。</w:t>
      </w:r>
    </w:p>
    <w:p>
      <w:pPr>
        <w:keepNext w:val="0"/>
        <w:keepLines w:val="0"/>
        <w:pageBreakBefore w:val="0"/>
        <w:widowControl w:val="0"/>
        <w:kinsoku/>
        <w:wordWrap/>
        <w:overflow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bookmarkStart w:id="0" w:name="_Toc102504603"/>
      <w:r>
        <w:rPr>
          <w:rFonts w:hint="eastAsia" w:ascii="黑体" w:hAnsi="黑体" w:eastAsia="黑体" w:cs="黑体"/>
          <w:bCs/>
          <w:color w:val="000000"/>
          <w:sz w:val="32"/>
          <w:szCs w:val="32"/>
        </w:rPr>
        <w:t>第二</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rPr>
        <w:t>县级以上人民政府应当将红十字事业纳入本级国民经济和社会发展规划，对红十字会给予支持和资助，保障红十字会依法履行职责，并对其活动进行监督。</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县级以上红十字会应当加强有关法律法规、国际红十字和红新月运动基本知识以及应急救援、应急救护、人道救助、无偿献血、造血干细胞捐献、遗体和人体器官（组织）捐献等方面知识的宣传。省红十字会应当开展红十字相关理论研究和对外交流合作。</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eastAsia="仿宋_GB2312"/>
          <w:bCs/>
          <w:color w:val="000000"/>
          <w:sz w:val="32"/>
          <w:szCs w:val="32"/>
        </w:rPr>
      </w:pPr>
      <w:r>
        <w:rPr>
          <w:rFonts w:hint="eastAsia" w:ascii="仿宋_GB2312" w:hAnsi="仿宋" w:eastAsia="仿宋_GB2312" w:cs="仿宋"/>
          <w:bCs/>
          <w:color w:val="000000"/>
          <w:sz w:val="32"/>
          <w:szCs w:val="32"/>
        </w:rPr>
        <w:t>广播、电视、报刊、互联网等媒体应当加强红十字活动的宣传，鼓励媒体免费发布公益广告。会展场所、体育场馆、影剧院、车站、机场、公园、商场等公共场所应当为红十字会开展宣传活动提供便利。</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r>
        <w:rPr>
          <w:rFonts w:hint="eastAsia" w:ascii="黑体" w:hAnsi="黑体" w:eastAsia="黑体" w:cs="黑体"/>
          <w:bCs/>
          <w:color w:val="000000"/>
          <w:sz w:val="32"/>
          <w:szCs w:val="32"/>
        </w:rPr>
        <w:t>第三</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rPr>
        <w:t>省红十字会应当建立健全红十字应急救援体系。县级以上红十字会应当制定应急预案，筹措储备救灾物资；可以根据实际情况建立应急救援队，按照应急救援指挥机构的统一指挥和安排，参与自然灾害、事故灾难、公共卫生事件等突发事件的应急救援和灾后重建。县级以上人民政府应当将红十字应急救援工作纳入政府应急响应体系，将红十字救援队伍、仓储设施、物资储备、信息保障等列入当地应急体系规划建设。</w:t>
      </w:r>
    </w:p>
    <w:p>
      <w:pPr>
        <w:pStyle w:val="6"/>
        <w:keepNext w:val="0"/>
        <w:keepLines w:val="0"/>
        <w:pageBreakBefore w:val="0"/>
        <w:widowControl w:val="0"/>
        <w:kinsoku/>
        <w:wordWrap/>
        <w:overflowPunct/>
        <w:autoSpaceDE/>
        <w:autoSpaceDN/>
        <w:bidi w:val="0"/>
        <w:adjustRightInd/>
        <w:snapToGrid/>
        <w:ind w:firstLine="640"/>
        <w:textAlignment w:val="auto"/>
        <w:rPr>
          <w:rFonts w:hint="eastAsia" w:ascii="仿宋_GB2312" w:hAnsi="仿宋" w:eastAsia="仿宋_GB2312" w:cs="仿宋"/>
          <w:bCs/>
          <w:color w:val="000000"/>
          <w:szCs w:val="32"/>
        </w:rPr>
      </w:pPr>
      <w:r>
        <w:rPr>
          <w:rFonts w:hint="eastAsia" w:ascii="仿宋_GB2312" w:hAnsi="仿宋" w:eastAsia="仿宋_GB2312" w:cs="仿宋"/>
          <w:bCs/>
          <w:color w:val="000000"/>
          <w:szCs w:val="32"/>
        </w:rPr>
        <w:t>在自然灾害、事故灾难、公共卫生事件等突发事件中，执行救援任务并标有红十字标志的交通工具有优先通行的权利，依法免交通行费。</w:t>
      </w:r>
    </w:p>
    <w:p>
      <w:pPr>
        <w:pStyle w:val="2"/>
        <w:keepNext w:val="0"/>
        <w:keepLines w:val="0"/>
        <w:pageBreakBefore w:val="0"/>
        <w:widowControl w:val="0"/>
        <w:kinsoku/>
        <w:wordWrap/>
        <w:overflowPunct/>
        <w:autoSpaceDE/>
        <w:autoSpaceDN/>
        <w:bidi w:val="0"/>
        <w:adjustRightInd/>
        <w:snapToGrid/>
        <w:spacing w:after="0"/>
        <w:ind w:firstLine="632" w:firstLineChars="200"/>
        <w:textAlignment w:val="auto"/>
        <w:rPr>
          <w:rFonts w:ascii="仿宋_GB2312" w:hAnsi="仿宋" w:eastAsia="仿宋_GB2312" w:cs="仿宋"/>
          <w:bCs/>
          <w:sz w:val="32"/>
          <w:szCs w:val="32"/>
        </w:rPr>
      </w:pPr>
      <w:r>
        <w:rPr>
          <w:rFonts w:ascii="仿宋_GB2312" w:hAnsi="仿宋" w:eastAsia="仿宋_GB2312" w:cs="仿宋"/>
          <w:bCs/>
          <w:sz w:val="32"/>
          <w:szCs w:val="32"/>
        </w:rPr>
        <w:t>县级以上红十字会应当参与开展扶老、救孤、恤病、助残、助学等人道救助活动；按照《湖南省现场救护条例》等规定做好现场救护培训</w:t>
      </w:r>
      <w:r>
        <w:rPr>
          <w:rFonts w:ascii="仿宋_GB2312" w:hAnsi="仿宋" w:eastAsia="仿宋_GB2312" w:cs="仿宋"/>
          <w:bCs/>
          <w:sz w:val="32"/>
          <w:szCs w:val="32"/>
          <w:lang w:val="en"/>
        </w:rPr>
        <w:t>工作</w:t>
      </w:r>
      <w:r>
        <w:rPr>
          <w:rFonts w:ascii="仿宋_GB2312" w:hAnsi="仿宋" w:eastAsia="仿宋_GB2312" w:cs="仿宋"/>
          <w:bCs/>
          <w:sz w:val="32"/>
          <w:szCs w:val="32"/>
        </w:rPr>
        <w:t>，组织应急救护演练，组织志愿者参与现场救护，提高群众自救互救能力。</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r>
        <w:rPr>
          <w:rFonts w:hint="eastAsia" w:ascii="黑体" w:hAnsi="黑体" w:eastAsia="黑体" w:cs="黑体"/>
          <w:bCs/>
          <w:color w:val="000000"/>
          <w:sz w:val="32"/>
          <w:szCs w:val="32"/>
        </w:rPr>
        <w:t>第四</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rPr>
        <w:t>县级以上红十字会参与、推动无偿献血、遗体和人体器官（组织）捐献，参与开展造血干细胞捐献等工作，县级以上人民政府卫生健康部门、血站和符合条件的医疗机构应当依法支</w:t>
      </w:r>
      <w:r>
        <w:rPr>
          <w:rFonts w:hint="eastAsia" w:ascii="仿宋_GB2312" w:hAnsi="仿宋_GB2312" w:eastAsia="仿宋_GB2312" w:cs="仿宋_GB2312"/>
          <w:bCs/>
          <w:color w:val="000000"/>
          <w:sz w:val="32"/>
          <w:szCs w:val="32"/>
        </w:rPr>
        <w:t>持；发展改革、民政、财政、自然资源等部门应当支持红十字会建立遗体和人体器官（组织）捐献者纪念场所（设施）等；</w:t>
      </w:r>
      <w:r>
        <w:rPr>
          <w:rFonts w:hint="eastAsia" w:ascii="仿宋_GB2312" w:hAnsi="仿宋" w:eastAsia="仿宋_GB2312" w:cs="仿宋"/>
          <w:bCs/>
          <w:color w:val="000000"/>
          <w:sz w:val="32"/>
          <w:szCs w:val="32"/>
        </w:rPr>
        <w:t>铁路、民航、邮政等单位应当按照国家有关规定，支持红十字会开展造血干细胞、遗体和人体器官（组织）转运等工作。</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r>
        <w:rPr>
          <w:rFonts w:hint="eastAsia" w:ascii="黑体" w:hAnsi="黑体" w:eastAsia="黑体" w:cs="黑体"/>
          <w:bCs/>
          <w:color w:val="000000"/>
          <w:sz w:val="32"/>
          <w:szCs w:val="32"/>
        </w:rPr>
        <w:t>第五</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lang w:val="en"/>
        </w:rPr>
        <w:t>各级志愿服务工作主管</w:t>
      </w:r>
      <w:r>
        <w:rPr>
          <w:rFonts w:hint="eastAsia" w:ascii="仿宋_GB2312" w:hAnsi="仿宋" w:eastAsia="仿宋_GB2312" w:cs="仿宋"/>
          <w:bCs/>
          <w:color w:val="000000"/>
          <w:sz w:val="32"/>
          <w:szCs w:val="32"/>
        </w:rPr>
        <w:t>机构应当将红十字志愿服务纳入当地志愿服务工作范围，支持红十字志愿服务队伍建设。</w:t>
      </w:r>
    </w:p>
    <w:p>
      <w:pPr>
        <w:pStyle w:val="2"/>
        <w:keepNext w:val="0"/>
        <w:keepLines w:val="0"/>
        <w:pageBreakBefore w:val="0"/>
        <w:widowControl w:val="0"/>
        <w:kinsoku/>
        <w:wordWrap/>
        <w:overflowPunct/>
        <w:autoSpaceDE/>
        <w:autoSpaceDN/>
        <w:bidi w:val="0"/>
        <w:adjustRightInd/>
        <w:snapToGrid/>
        <w:spacing w:after="0"/>
        <w:ind w:firstLine="632" w:firstLineChars="200"/>
        <w:textAlignment w:val="auto"/>
        <w:rPr>
          <w:rFonts w:ascii="仿宋_GB2312" w:hAnsi="仿宋" w:eastAsia="仿宋_GB2312" w:cs="仿宋"/>
          <w:bCs/>
          <w:sz w:val="32"/>
          <w:szCs w:val="32"/>
        </w:rPr>
      </w:pPr>
      <w:r>
        <w:rPr>
          <w:rFonts w:ascii="仿宋_GB2312" w:hAnsi="仿宋" w:eastAsia="仿宋_GB2312" w:cs="仿宋"/>
          <w:bCs/>
          <w:sz w:val="32"/>
          <w:szCs w:val="32"/>
        </w:rPr>
        <w:t>红十字会应当培育、发展红十字志愿服务组织和志愿者，为红十字志愿者、志愿服务组织提供活动空间和交流平台，建立志愿服务体系。</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红十字会招募志愿者开展志愿服务活动时，应当提供与志愿服务有关的真实、准确、完整的信息，提示在志愿服务过程中可能发生的风险，并为其购买相应的人身意外伤害保险。</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r>
        <w:rPr>
          <w:rFonts w:hint="eastAsia" w:ascii="黑体" w:hAnsi="黑体" w:eastAsia="黑体" w:cs="黑体"/>
          <w:bCs/>
          <w:color w:val="000000"/>
          <w:sz w:val="32"/>
          <w:szCs w:val="32"/>
        </w:rPr>
        <w:t>第六</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lang w:val="en"/>
        </w:rPr>
        <w:t>鼓励各级各类学校建立</w:t>
      </w:r>
      <w:r>
        <w:rPr>
          <w:rFonts w:hint="eastAsia" w:ascii="仿宋_GB2312" w:hAnsi="仿宋" w:eastAsia="仿宋_GB2312" w:cs="仿宋"/>
          <w:bCs/>
          <w:color w:val="000000"/>
          <w:sz w:val="32"/>
          <w:szCs w:val="32"/>
        </w:rPr>
        <w:t>学校红十字会</w:t>
      </w:r>
      <w:r>
        <w:rPr>
          <w:rFonts w:hint="eastAsia" w:ascii="仿宋_GB2312" w:hAnsi="仿宋" w:eastAsia="仿宋_GB2312" w:cs="仿宋"/>
          <w:bCs/>
          <w:color w:val="000000"/>
          <w:sz w:val="32"/>
          <w:szCs w:val="32"/>
          <w:lang w:val="en"/>
        </w:rPr>
        <w:t>，</w:t>
      </w:r>
      <w:r>
        <w:rPr>
          <w:rFonts w:hint="eastAsia" w:ascii="仿宋_GB2312" w:hAnsi="仿宋" w:eastAsia="仿宋_GB2312" w:cs="仿宋"/>
          <w:bCs/>
          <w:color w:val="000000"/>
          <w:sz w:val="32"/>
          <w:szCs w:val="32"/>
        </w:rPr>
        <w:t>发展红十字青少年会员，开展宣传红十字运动基本知识以及防溺水、防中毒、防交通事故等应急救护技能培训，进行人道主义教育，组织青少年以多种形式为孤寡老人、残疾人和其他需要救助的人员服务。</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rPr>
      </w:pPr>
      <w:r>
        <w:rPr>
          <w:rFonts w:hint="eastAsia" w:ascii="黑体" w:hAnsi="黑体" w:eastAsia="黑体" w:cs="黑体"/>
          <w:bCs/>
          <w:color w:val="000000"/>
          <w:sz w:val="32"/>
          <w:szCs w:val="32"/>
        </w:rPr>
        <w:t>第七</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rPr>
        <w:t>红十字会依法兴办与其宗旨相符的公益事业，按照国家有关规定享受减税、免税的优惠。</w:t>
      </w:r>
    </w:p>
    <w:bookmarkEnd w:id="0"/>
    <w:p>
      <w:pPr>
        <w:pStyle w:val="2"/>
        <w:keepNext w:val="0"/>
        <w:keepLines w:val="0"/>
        <w:pageBreakBefore w:val="0"/>
        <w:widowControl w:val="0"/>
        <w:kinsoku/>
        <w:wordWrap/>
        <w:overflowPunct/>
        <w:topLinePunct/>
        <w:autoSpaceDE/>
        <w:autoSpaceDN/>
        <w:bidi w:val="0"/>
        <w:adjustRightInd/>
        <w:snapToGrid/>
        <w:spacing w:after="0"/>
        <w:ind w:firstLine="632" w:firstLineChars="200"/>
        <w:textAlignment w:val="auto"/>
        <w:rPr>
          <w:rFonts w:ascii="仿宋_GB2312" w:hAnsi="仿宋" w:eastAsia="仿宋_GB2312" w:cs="仿宋"/>
          <w:bCs/>
          <w:sz w:val="32"/>
          <w:szCs w:val="32"/>
          <w:bdr w:val="single" w:color="auto" w:sz="4" w:space="0"/>
          <w:shd w:val="clear" w:color="FFFFFF" w:fill="D9D9D9"/>
        </w:rPr>
      </w:pPr>
      <w:bookmarkStart w:id="1" w:name="_Toc102504605"/>
      <w:r>
        <w:rPr>
          <w:rFonts w:ascii="黑体" w:hAnsi="黑体" w:eastAsia="黑体" w:cs="黑体"/>
          <w:bCs/>
          <w:sz w:val="32"/>
          <w:szCs w:val="32"/>
        </w:rPr>
        <w:t>第八条</w:t>
      </w:r>
      <w:r>
        <w:rPr>
          <w:rFonts w:hint="eastAsia" w:ascii="仿宋_GB2312" w:hAnsi="仿宋" w:cs="仿宋"/>
          <w:bCs/>
          <w:sz w:val="32"/>
          <w:szCs w:val="32"/>
          <w:lang w:val="en" w:eastAsia="zh-CN"/>
        </w:rPr>
        <w:t>　</w:t>
      </w:r>
      <w:r>
        <w:rPr>
          <w:rFonts w:ascii="仿宋_GB2312" w:hAnsi="仿宋" w:eastAsia="仿宋_GB2312" w:cs="仿宋"/>
          <w:bCs/>
          <w:sz w:val="32"/>
          <w:szCs w:val="32"/>
          <w:lang w:val="en"/>
        </w:rPr>
        <w:t>县级以上红十字会可以按照《中华人民共和国红十字会法》《中华人民共和国慈善法》《湖南省募捐条例》的规定开展募捐活动，募捐所得财产用于红十字会履行法定职责。</w:t>
      </w:r>
    </w:p>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shd w:val="clear" w:color="FFFFFF" w:fill="D9D9D9"/>
        </w:rPr>
      </w:pPr>
      <w:r>
        <w:rPr>
          <w:rFonts w:hint="eastAsia" w:ascii="黑体" w:hAnsi="黑体" w:eastAsia="黑体" w:cs="黑体"/>
          <w:bCs/>
          <w:color w:val="000000"/>
          <w:sz w:val="32"/>
          <w:szCs w:val="32"/>
        </w:rPr>
        <w:t>第九</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rPr>
        <w:t>红十字会应当建立财务管理制度，将财政资金与社会捐赠财产分开进行管理、独立核算，按照有关规定设立专用银行账户存放、管理社会捐赠资金、会费等。</w:t>
      </w:r>
    </w:p>
    <w:p>
      <w:pPr>
        <w:pStyle w:val="2"/>
        <w:keepNext w:val="0"/>
        <w:keepLines w:val="0"/>
        <w:pageBreakBefore w:val="0"/>
        <w:widowControl w:val="0"/>
        <w:kinsoku/>
        <w:wordWrap/>
        <w:overflowPunct/>
        <w:topLinePunct/>
        <w:autoSpaceDE/>
        <w:autoSpaceDN/>
        <w:bidi w:val="0"/>
        <w:adjustRightInd/>
        <w:snapToGrid/>
        <w:spacing w:after="0"/>
        <w:ind w:firstLine="632" w:firstLineChars="200"/>
        <w:textAlignment w:val="auto"/>
        <w:rPr>
          <w:rFonts w:ascii="仿宋_GB2312" w:hAnsi="仿宋" w:eastAsia="仿宋_GB2312" w:cs="仿宋"/>
          <w:bCs/>
          <w:sz w:val="32"/>
          <w:szCs w:val="32"/>
          <w:lang w:val="en"/>
        </w:rPr>
      </w:pPr>
      <w:r>
        <w:rPr>
          <w:rFonts w:ascii="仿宋_GB2312" w:hAnsi="仿宋" w:eastAsia="仿宋_GB2312" w:cs="仿宋"/>
          <w:bCs/>
          <w:sz w:val="32"/>
          <w:szCs w:val="32"/>
        </w:rPr>
        <w:t>红十字会财产的收入和使用情况，应当及时向社会公布，依法接受县级以上人民政府审计等部门监督和</w:t>
      </w:r>
      <w:r>
        <w:rPr>
          <w:rFonts w:ascii="仿宋_GB2312" w:hAnsi="仿宋" w:eastAsia="仿宋_GB2312" w:cs="仿宋"/>
          <w:bCs/>
          <w:sz w:val="32"/>
          <w:szCs w:val="32"/>
          <w:lang w:val="en"/>
        </w:rPr>
        <w:t>社会监督；其中，红十字会接受社会捐赠及其使用情况，还应当依法接受县级以上人民政府民政部门的监督。</w:t>
      </w:r>
    </w:p>
    <w:bookmarkEnd w:id="1"/>
    <w:p>
      <w:pPr>
        <w:keepNext w:val="0"/>
        <w:keepLines w:val="0"/>
        <w:pageBreakBefore w:val="0"/>
        <w:widowControl w:val="0"/>
        <w:kinsoku/>
        <w:wordWrap/>
        <w:overflowPunct/>
        <w:topLinePunct/>
        <w:autoSpaceDE/>
        <w:autoSpaceDN/>
        <w:bidi w:val="0"/>
        <w:adjustRightInd/>
        <w:snapToGrid/>
        <w:ind w:firstLine="632" w:firstLineChars="200"/>
        <w:textAlignment w:val="auto"/>
        <w:rPr>
          <w:rFonts w:hint="eastAsia" w:ascii="仿宋_GB2312" w:hAnsi="仿宋" w:eastAsia="仿宋_GB2312" w:cs="仿宋"/>
          <w:bCs/>
          <w:color w:val="000000"/>
          <w:sz w:val="32"/>
          <w:szCs w:val="32"/>
          <w:lang w:val="en"/>
        </w:rPr>
      </w:pPr>
      <w:r>
        <w:rPr>
          <w:rFonts w:hint="eastAsia" w:ascii="黑体" w:hAnsi="黑体" w:eastAsia="黑体" w:cs="黑体"/>
          <w:bCs/>
          <w:color w:val="000000"/>
          <w:sz w:val="32"/>
          <w:szCs w:val="32"/>
        </w:rPr>
        <w:t>第十</w:t>
      </w:r>
      <w:r>
        <w:rPr>
          <w:rFonts w:ascii="黑体" w:hAnsi="黑体" w:eastAsia="黑体" w:cs="黑体"/>
          <w:bCs/>
          <w:sz w:val="32"/>
          <w:szCs w:val="32"/>
        </w:rPr>
        <w:t>条</w:t>
      </w:r>
      <w:r>
        <w:rPr>
          <w:rFonts w:hint="eastAsia" w:ascii="仿宋_GB2312" w:hAnsi="仿宋" w:cs="仿宋"/>
          <w:bCs/>
          <w:sz w:val="32"/>
          <w:szCs w:val="32"/>
          <w:lang w:val="en" w:eastAsia="zh-CN"/>
        </w:rPr>
        <w:t>　</w:t>
      </w:r>
      <w:r>
        <w:rPr>
          <w:rFonts w:hint="eastAsia" w:ascii="仿宋_GB2312" w:hAnsi="仿宋" w:eastAsia="仿宋_GB2312" w:cs="仿宋"/>
          <w:bCs/>
          <w:color w:val="000000"/>
          <w:sz w:val="32"/>
          <w:szCs w:val="32"/>
          <w:lang w:val="en"/>
        </w:rPr>
        <w:t>将红十字工作纳入本省群众性精神文明创建活动</w:t>
      </w:r>
      <w:r>
        <w:rPr>
          <w:rFonts w:hint="eastAsia" w:ascii="仿宋_GB2312" w:hAnsi="仿宋" w:eastAsia="仿宋_GB2312" w:cs="仿宋"/>
          <w:bCs/>
          <w:color w:val="000000"/>
          <w:sz w:val="32"/>
          <w:szCs w:val="32"/>
        </w:rPr>
        <w:t>。</w:t>
      </w:r>
    </w:p>
    <w:p>
      <w:pPr>
        <w:pStyle w:val="2"/>
        <w:keepNext w:val="0"/>
        <w:keepLines w:val="0"/>
        <w:pageBreakBefore w:val="0"/>
        <w:widowControl w:val="0"/>
        <w:kinsoku/>
        <w:wordWrap/>
        <w:overflowPunct/>
        <w:topLinePunct/>
        <w:autoSpaceDE/>
        <w:autoSpaceDN/>
        <w:bidi w:val="0"/>
        <w:adjustRightInd/>
        <w:snapToGrid/>
        <w:spacing w:after="0"/>
        <w:ind w:firstLine="632" w:firstLineChars="200"/>
        <w:textAlignment w:val="auto"/>
        <w:rPr>
          <w:rFonts w:ascii="仿宋_GB2312" w:hAnsi="仿宋" w:eastAsia="仿宋_GB2312" w:cs="仿宋"/>
          <w:bCs/>
          <w:sz w:val="32"/>
          <w:szCs w:val="32"/>
          <w:lang w:val="en"/>
        </w:rPr>
      </w:pPr>
      <w:r>
        <w:rPr>
          <w:rFonts w:ascii="仿宋_GB2312" w:hAnsi="仿宋" w:eastAsia="仿宋_GB2312" w:cs="仿宋"/>
          <w:bCs/>
          <w:sz w:val="32"/>
          <w:szCs w:val="32"/>
          <w:lang w:val="en"/>
        </w:rPr>
        <w:t>红十字志愿者在参加应急救援、应急救护等志愿服务活动中表现突出的，本人或者红十字会可以按照规定申报好人、道德模范等荣誉称号或者见义勇为行为。被确认为见义勇为的人员，由县级以上人民政府按照《湖南省见义勇为人员奖励和保护条例》的规定给予表彰、奖励。</w:t>
      </w:r>
    </w:p>
    <w:p>
      <w:pPr>
        <w:pStyle w:val="2"/>
        <w:keepNext w:val="0"/>
        <w:keepLines w:val="0"/>
        <w:pageBreakBefore w:val="0"/>
        <w:widowControl w:val="0"/>
        <w:kinsoku/>
        <w:wordWrap/>
        <w:overflowPunct/>
        <w:topLinePunct/>
        <w:autoSpaceDE/>
        <w:autoSpaceDN/>
        <w:bidi w:val="0"/>
        <w:adjustRightInd/>
        <w:snapToGrid/>
        <w:spacing w:after="0"/>
        <w:ind w:firstLine="632" w:firstLineChars="200"/>
        <w:textAlignment w:val="auto"/>
        <w:rPr>
          <w:rFonts w:ascii="仿宋_GB2312" w:hAnsi="仿宋" w:eastAsia="仿宋_GB2312" w:cs="仿宋"/>
          <w:bCs/>
          <w:sz w:val="32"/>
          <w:szCs w:val="32"/>
        </w:rPr>
      </w:pPr>
      <w:r>
        <w:rPr>
          <w:rFonts w:ascii="仿宋_GB2312" w:hAnsi="仿宋" w:eastAsia="仿宋_GB2312" w:cs="仿宋"/>
          <w:bCs/>
          <w:sz w:val="32"/>
          <w:szCs w:val="32"/>
        </w:rPr>
        <w:t>获得国家无偿献血奉献奖金奖、无偿捐献造血干细胞奖或者无偿献血志愿服务终身荣誉奖的个人，可以凭相关证件免费进入</w:t>
      </w:r>
      <w:r>
        <w:rPr>
          <w:rFonts w:ascii="仿宋_GB2312" w:hAnsi="仿宋" w:eastAsia="仿宋_GB2312" w:cs="仿宋"/>
          <w:bCs/>
          <w:sz w:val="32"/>
          <w:szCs w:val="32"/>
          <w:lang w:val="en"/>
        </w:rPr>
        <w:t>政府举办</w:t>
      </w:r>
      <w:r>
        <w:rPr>
          <w:rFonts w:ascii="仿宋_GB2312" w:hAnsi="仿宋" w:eastAsia="仿宋_GB2312" w:cs="仿宋"/>
          <w:bCs/>
          <w:sz w:val="32"/>
          <w:szCs w:val="32"/>
        </w:rPr>
        <w:t>的公园、风景名胜区，可以按照城市人民政府的规定免费乘坐城市公共交通工具。</w:t>
      </w:r>
    </w:p>
    <w:p>
      <w:pPr>
        <w:pStyle w:val="2"/>
        <w:keepNext w:val="0"/>
        <w:keepLines w:val="0"/>
        <w:pageBreakBefore w:val="0"/>
        <w:widowControl w:val="0"/>
        <w:kinsoku/>
        <w:wordWrap/>
        <w:overflowPunct/>
        <w:topLinePunct/>
        <w:autoSpaceDE/>
        <w:autoSpaceDN/>
        <w:bidi w:val="0"/>
        <w:adjustRightInd/>
        <w:snapToGrid/>
        <w:spacing w:after="0"/>
        <w:ind w:firstLine="632" w:firstLineChars="200"/>
        <w:textAlignment w:val="auto"/>
        <w:rPr>
          <w:rFonts w:hint="eastAsia"/>
          <w:lang w:val="en-US" w:eastAsia="zh-CN"/>
        </w:rPr>
      </w:pPr>
      <w:r>
        <w:rPr>
          <w:rFonts w:ascii="黑体" w:hAnsi="黑体" w:eastAsia="黑体" w:cs="黑体"/>
          <w:bCs/>
          <w:sz w:val="32"/>
          <w:szCs w:val="32"/>
        </w:rPr>
        <w:t>第十一条</w:t>
      </w:r>
      <w:r>
        <w:rPr>
          <w:rFonts w:hint="eastAsia" w:ascii="仿宋_GB2312" w:hAnsi="仿宋" w:cs="仿宋"/>
          <w:bCs/>
          <w:sz w:val="32"/>
          <w:szCs w:val="32"/>
          <w:lang w:val="en" w:eastAsia="zh-CN"/>
        </w:rPr>
        <w:t>　</w:t>
      </w:r>
      <w:r>
        <w:rPr>
          <w:rFonts w:ascii="仿宋_GB2312" w:hAnsi="仿宋" w:eastAsia="仿宋_GB2312" w:cs="仿宋"/>
          <w:bCs/>
          <w:sz w:val="32"/>
          <w:szCs w:val="32"/>
        </w:rPr>
        <w:t>本办法自</w:t>
      </w:r>
      <w:r>
        <w:rPr>
          <w:rFonts w:hint="default" w:ascii="Times New Roman" w:hAnsi="Times New Roman" w:eastAsia="仿宋_GB2312" w:cs="Times New Roman"/>
          <w:bCs/>
          <w:sz w:val="32"/>
          <w:szCs w:val="32"/>
        </w:rPr>
        <w:t>2023年9月1日起施</w:t>
      </w:r>
      <w:r>
        <w:rPr>
          <w:rFonts w:ascii="仿宋_GB2312" w:hAnsi="仿宋" w:eastAsia="仿宋_GB2312" w:cs="仿宋"/>
          <w:bCs/>
          <w:sz w:val="32"/>
          <w:szCs w:val="32"/>
        </w:rPr>
        <w:t>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D9804AC"/>
    <w:rsid w:val="0FB2629C"/>
    <w:rsid w:val="10CA7A92"/>
    <w:rsid w:val="11054319"/>
    <w:rsid w:val="113F5A0D"/>
    <w:rsid w:val="11E4354D"/>
    <w:rsid w:val="124F64A1"/>
    <w:rsid w:val="126B3FF7"/>
    <w:rsid w:val="16BA5F81"/>
    <w:rsid w:val="1A8F40AA"/>
    <w:rsid w:val="1BAB226E"/>
    <w:rsid w:val="1C00080C"/>
    <w:rsid w:val="1CA94A00"/>
    <w:rsid w:val="1CF57F55"/>
    <w:rsid w:val="23E826CC"/>
    <w:rsid w:val="265A7FAD"/>
    <w:rsid w:val="2DB4438A"/>
    <w:rsid w:val="31E9151E"/>
    <w:rsid w:val="34CE2DFE"/>
    <w:rsid w:val="36A41292"/>
    <w:rsid w:val="392D1EC7"/>
    <w:rsid w:val="3AAA561F"/>
    <w:rsid w:val="3AB66220"/>
    <w:rsid w:val="3DE63740"/>
    <w:rsid w:val="3E1F320A"/>
    <w:rsid w:val="3FBB675E"/>
    <w:rsid w:val="412B12FB"/>
    <w:rsid w:val="440A4D43"/>
    <w:rsid w:val="450C508D"/>
    <w:rsid w:val="481351D2"/>
    <w:rsid w:val="53543565"/>
    <w:rsid w:val="558A062C"/>
    <w:rsid w:val="56AE0827"/>
    <w:rsid w:val="58613E05"/>
    <w:rsid w:val="5F981276"/>
    <w:rsid w:val="60ED7553"/>
    <w:rsid w:val="6100537D"/>
    <w:rsid w:val="61C64CD9"/>
    <w:rsid w:val="622F12CF"/>
    <w:rsid w:val="63974B7F"/>
    <w:rsid w:val="653E08AD"/>
    <w:rsid w:val="6A973924"/>
    <w:rsid w:val="6C6275A3"/>
    <w:rsid w:val="6C9446F5"/>
    <w:rsid w:val="6CA47B3E"/>
    <w:rsid w:val="71B9247E"/>
    <w:rsid w:val="73D47729"/>
    <w:rsid w:val="76707284"/>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1"/>
    <w:basedOn w:val="1"/>
    <w:next w:val="1"/>
    <w:autoRedefine/>
    <w:qFormat/>
    <w:uiPriority w:val="99"/>
    <w:pPr>
      <w:widowControl/>
      <w:spacing w:after="150"/>
      <w:jc w:val="left"/>
      <w:outlineLvl w:val="0"/>
    </w:pPr>
    <w:rPr>
      <w:rFonts w:ascii="宋体" w:hAnsi="宋体" w:cs="宋体"/>
      <w:b/>
      <w:bCs/>
      <w:kern w:val="36"/>
      <w:sz w:val="36"/>
      <w:szCs w:val="36"/>
    </w:rPr>
  </w:style>
  <w:style w:type="paragraph" w:styleId="5">
    <w:name w:val="heading 4"/>
    <w:basedOn w:val="1"/>
    <w:next w:val="1"/>
    <w:autoRedefine/>
    <w:qFormat/>
    <w:uiPriority w:val="1"/>
    <w:pPr>
      <w:spacing w:before="214"/>
      <w:ind w:left="0" w:firstLine="0" w:firstLineChars="0"/>
      <w:jc w:val="center"/>
      <w:outlineLvl w:val="3"/>
    </w:pPr>
    <w:rPr>
      <w:rFonts w:eastAsia="方正黑体_GBK"/>
      <w:sz w:val="28"/>
      <w:szCs w:val="32"/>
    </w:rPr>
  </w:style>
  <w:style w:type="character" w:default="1" w:styleId="14">
    <w:name w:val="Default Paragraph Font"/>
    <w:autoRedefine/>
    <w:unhideWhenUsed/>
    <w:qFormat/>
    <w:uiPriority w:val="1"/>
  </w:style>
  <w:style w:type="table" w:default="1" w:styleId="13">
    <w:name w:val="Normal Table"/>
    <w:autoRedefine/>
    <w:unhideWhenUsed/>
    <w:qFormat/>
    <w:uiPriority w:val="99"/>
    <w:tblPr>
      <w:tblCellMar>
        <w:top w:w="0" w:type="dxa"/>
        <w:left w:w="108" w:type="dxa"/>
        <w:bottom w:w="0" w:type="dxa"/>
        <w:right w:w="108" w:type="dxa"/>
      </w:tblCellMar>
    </w:tblPr>
  </w:style>
  <w:style w:type="paragraph" w:styleId="2">
    <w:name w:val="Body Text"/>
    <w:basedOn w:val="1"/>
    <w:next w:val="3"/>
    <w:autoRedefine/>
    <w:qFormat/>
    <w:uiPriority w:val="0"/>
    <w:pPr>
      <w:spacing w:after="120"/>
    </w:pPr>
  </w:style>
  <w:style w:type="paragraph" w:customStyle="1" w:styleId="3">
    <w:name w:val="正文文本 21"/>
    <w:basedOn w:val="1"/>
    <w:autoRedefine/>
    <w:qFormat/>
    <w:uiPriority w:val="99"/>
    <w:pPr>
      <w:spacing w:after="120" w:line="480" w:lineRule="auto"/>
    </w:pPr>
    <w:rPr>
      <w:rFonts w:ascii="Times New Roman" w:hAnsi="Times New Roman" w:eastAsia="宋体"/>
    </w:rPr>
  </w:style>
  <w:style w:type="paragraph" w:styleId="6">
    <w:name w:val="Normal Indent"/>
    <w:basedOn w:val="1"/>
    <w:next w:val="1"/>
    <w:autoRedefine/>
    <w:qFormat/>
    <w:uiPriority w:val="0"/>
    <w:pPr>
      <w:ind w:firstLine="420" w:firstLineChars="200"/>
    </w:pPr>
    <w:rPr>
      <w:rFonts w:ascii="Calibri" w:hAnsi="Calibri" w:eastAsia="宋体"/>
    </w:rPr>
  </w:style>
  <w:style w:type="paragraph" w:styleId="7">
    <w:name w:val="Plain Text"/>
    <w:basedOn w:val="1"/>
    <w:autoRedefine/>
    <w:qFormat/>
    <w:uiPriority w:val="0"/>
    <w:rPr>
      <w:rFonts w:ascii="宋体" w:cs="Courier New"/>
      <w:szCs w:val="21"/>
    </w:rPr>
  </w:style>
  <w:style w:type="paragraph" w:styleId="8">
    <w:name w:val="Body Text Indent 2"/>
    <w:basedOn w:val="9"/>
    <w:next w:val="1"/>
    <w:autoRedefine/>
    <w:unhideWhenUsed/>
    <w:qFormat/>
    <w:uiPriority w:val="0"/>
    <w:pPr>
      <w:spacing w:line="590" w:lineRule="exact"/>
      <w:ind w:firstLine="880" w:firstLineChars="200"/>
    </w:pPr>
    <w:rPr>
      <w:rFonts w:eastAsia="方正仿宋_GBK"/>
    </w:rPr>
  </w:style>
  <w:style w:type="paragraph" w:customStyle="1" w:styleId="9">
    <w:name w:val="正文_0"/>
    <w:next w:val="8"/>
    <w:autoRedefine/>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10">
    <w:name w:val="footer"/>
    <w:basedOn w:val="1"/>
    <w:link w:val="20"/>
    <w:autoRedefine/>
    <w:unhideWhenUsed/>
    <w:qFormat/>
    <w:uiPriority w:val="99"/>
    <w:pPr>
      <w:tabs>
        <w:tab w:val="center" w:pos="4153"/>
        <w:tab w:val="right" w:pos="8306"/>
      </w:tabs>
      <w:snapToGrid w:val="0"/>
      <w:jc w:val="left"/>
    </w:pPr>
    <w:rPr>
      <w:sz w:val="18"/>
      <w:szCs w:val="18"/>
    </w:rPr>
  </w:style>
  <w:style w:type="paragraph" w:styleId="11">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5">
    <w:name w:val="Strong"/>
    <w:basedOn w:val="14"/>
    <w:autoRedefine/>
    <w:qFormat/>
    <w:uiPriority w:val="22"/>
    <w:rPr>
      <w:bCs/>
    </w:rPr>
  </w:style>
  <w:style w:type="character" w:styleId="16">
    <w:name w:val="page number"/>
    <w:basedOn w:val="14"/>
    <w:autoRedefine/>
    <w:qFormat/>
    <w:uiPriority w:val="99"/>
    <w:rPr>
      <w:rFonts w:cs="Times New Roman"/>
    </w:rPr>
  </w:style>
  <w:style w:type="character" w:styleId="17">
    <w:name w:val="FollowedHyperlink"/>
    <w:autoRedefine/>
    <w:unhideWhenUsed/>
    <w:qFormat/>
    <w:uiPriority w:val="99"/>
    <w:rPr>
      <w:color w:val="954F72"/>
      <w:u w:val="single"/>
    </w:rPr>
  </w:style>
  <w:style w:type="character" w:styleId="18">
    <w:name w:val="Hyperlink"/>
    <w:autoRedefine/>
    <w:qFormat/>
    <w:uiPriority w:val="99"/>
    <w:rPr>
      <w:rFonts w:hint="default" w:ascii="ˎ̥" w:hAnsi="ˎ̥"/>
      <w:color w:val="0404B3"/>
      <w:sz w:val="18"/>
      <w:szCs w:val="18"/>
      <w:u w:val="none"/>
    </w:rPr>
  </w:style>
  <w:style w:type="paragraph" w:customStyle="1" w:styleId="19">
    <w:name w:val="NormalIndent"/>
    <w:autoRedefine/>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character" w:customStyle="1" w:styleId="20">
    <w:name w:val="页脚 字符"/>
    <w:link w:val="10"/>
    <w:autoRedefine/>
    <w:qFormat/>
    <w:uiPriority w:val="99"/>
    <w:rPr>
      <w:sz w:val="18"/>
      <w:szCs w:val="18"/>
    </w:rPr>
  </w:style>
  <w:style w:type="character" w:customStyle="1" w:styleId="21">
    <w:name w:val="页眉 字符"/>
    <w:link w:val="11"/>
    <w:autoRedefine/>
    <w:qFormat/>
    <w:uiPriority w:val="99"/>
    <w:rPr>
      <w:sz w:val="18"/>
      <w:szCs w:val="18"/>
    </w:rPr>
  </w:style>
  <w:style w:type="paragraph" w:customStyle="1" w:styleId="22">
    <w:name w:val="paragraph"/>
    <w:basedOn w:val="1"/>
    <w:autoRedefine/>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1909</Words>
  <Characters>1928</Characters>
  <Lines>1</Lines>
  <Paragraphs>1</Paragraphs>
  <TotalTime>1</TotalTime>
  <ScaleCrop>false</ScaleCrop>
  <LinksUpToDate>false</LinksUpToDate>
  <CharactersWithSpaces>1942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2024-01-19T10:59:24Z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