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湖南省建</w:t>
      </w:r>
      <w:bookmarkStart w:id="0" w:name="_GoBack"/>
      <w:bookmarkEnd w:id="0"/>
      <w:r>
        <w:rPr>
          <w:rFonts w:hint="eastAsia" w:ascii="宋体" w:hAnsi="宋体" w:eastAsia="宋体" w:cs="宋体"/>
          <w:sz w:val="44"/>
          <w:szCs w:val="44"/>
        </w:rPr>
        <w:t>设工程监理条例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楷体_GB2312" w:hAnsi="楷体_GB2312" w:eastAsia="楷体_GB2312" w:cs="楷体_GB2312"/>
          <w:sz w:val="32"/>
          <w:szCs w:val="32"/>
        </w:rPr>
      </w:pPr>
      <w:r>
        <w:rPr>
          <w:rFonts w:hint="default" w:ascii="Times New Roman" w:hAnsi="Times New Roman" w:eastAsia="楷体_GB2312" w:cs="Times New Roman"/>
          <w:sz w:val="32"/>
          <w:szCs w:val="32"/>
        </w:rPr>
        <w:t>（1998年11月28日湖南省第九届人民代表大会常务委员会第六次会议通过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根据2002年3月29日湖南省第九届人民代表大会常务委员会第二十八次会议《关于修改&lt;湖南省建设工程监理条例&gt;的决定》第一次修正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根据2013年5月27日湖南省第十二届人民代表大会常务委员会第二次会议《关于修改部分地方性法规的决定》第二次修正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根据2023年5月31日湖南省第十四届人民代表大会常务委员会第三次会议《关于废止、修改部分地方性法规的决定》第三次修正）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948" w:leftChars="300" w:right="948" w:rightChars="3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632" w:right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监理单位和监理工程师</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监理范围及内容</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监理的实施</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为了规范建设工程监理活动，提高建设工程管理水平和投资效益，确保建设工程质量，根据《中华人民共和国建筑法》和其他法律、法规的规定，结合本省实际，制定本条例。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本条例所称建设工程监理，是指监理单位受建设工程项目法人（以下简称项目法人）的委托，根据有关法律、法规、工程建设合同、监理合同以及其他具有法律约束力的文件，对建设工程的投资、工期和质量实施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本省推行建设工程监理制度。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从事建设工程监理活动，应当遵循客观、公正、科学和诚实信用的原则。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县级以上人民政府住房和城乡建设行政管理部门对本行政区域内的建设工程监理活动进行监督管理；其他有关主管部门依照有关法律、法规的规定对本行业的建设工程监理活动进行监督。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监理单位和监理工程师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本条例所称监理单位，是指依法取得监理资质证书，具有法人资格，对建设工程项目实施监督管理的社会中介组织。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本条例所称监理工程师，是指依法取得监理工程师资格并经注册取得监理工程师岗位证书，在监理单位从事监理业务的专业人员。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监理单位的资质等级核定、业务范围和审批权限，按照国家和省人民政府的有关规定执行。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监理单位应当在核定的监理业务范围内承接监理业务。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监理单位不得转让监理业务。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省外监理单位来湘承接监理业务，应当向省人民政府住房和城乡建设行政管理部门申请信息登记。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外国监理单位来湘承接监理业务，应当按照国家有关规定办理手续。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实行监理工程师注册制度。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监理工程师执业必须持有国家颁发的监理工程师资格证书，并经有关主管部门注册取得监理工程师岗位证书。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取得监理工程师资格证书但未经注册的，不得以监理工程师的名义从事监理工作。监理工程师不得以个人名义承接监理业务。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监理工程师不得涂改、出借或者出卖监理工程师资格证书、监理工程师岗位证书，不得同时在二个或者二个以上监理单位任职。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在职的国家机关工作人员不得在监理单位任职。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监理单位及其监理工程师与被监理工程的承包单位以及工程材料、构配件和设备供应单位，不得有隶属关系或者其他利害关系。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经有关部门依法批准成立的监理行业协会，作为对监理单位和监理工程师进行自律管理的社会团体，应当依据协会章程开展活动，反映监理行业的意见和要求。维护监理单位和监理工程师的合法权益，对监理单位和监理工程师违反职业道德和行业纪律的行为予以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监理范围及内容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建设工程监理分为建设前期阶段监理、设计阶段监理、施工准备阶段监理、施工阶段监理和保修阶段监理。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下列建设工程项目的施工准备阶段、施工阶段、保修阶段应当实行监理：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（一）国家和本省重点建设工程项目；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（二）大中型公用事业建设项目；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（三）商品住宅建设项目；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（四）利用外国政府或者国际金融组织的贷款、捐款建设的工程项目；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（五）储存易燃、易爆、剧毒物品的大中型建设工程项目；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（六）省人民政府规定的其他建设工程项目。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前款规定的建设工程项目的建设前期阶段、设计阶段和前款规定的建设工程项目以外的其他建设工程项目是否实行监理，由项目法人自行决定。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项目法人可以委托监理单位承担建设工程全部阶段的监理，也可以委托监理单位承担建设工程部分阶段或者某个阶段的某项内容的监理。但是，施工准备阶段、施工阶段、保修阶段只能委托同一个监理单位监理。具体监理范围和内容由双方签订合同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建设前期阶段可以委托监理单位参与的主要内容：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（一）投资项目的决策研究；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（二）建设项目的可行性研究。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设计阶段可以委托监理单位参与的主要内容：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（一）设计方案的评选；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（二）勘察、设计单位的确定；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（三）协助项目法人签订勘察、设计合同并监督实施；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（四）项目设计审核。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施工准备阶段可以委托监理单位参与的主要内容：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（一）协助项目法人组织招标；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（二）施工图预算的审核；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（三）协助项目法人签订施工合同。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施工阶段可以委托监理单位参与的主要内容：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（一）协助项目法人办理开工手续；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（二）分包单位的确认；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（三）施工图纸的会审；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（四）施工单位提出的施工组织设计的审核；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（五）施工单位执行工程承包合同和工程技术规范、标准的检查；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（六）工程材料、构配件和设备的数量及质量的审核；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（七）工程进度、质量和投资的控制；施工单位安全和文明施工保证措施的检查；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（八）设计变更的审核、施工现场的签证、工程的检查，工程付款的签证，协助项目法人进行工程结算。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保修阶段可以委托监理单位参与的主要内容：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工程质量状况检查；</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工程质量责任分析；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（三）工程保修监督。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监理的实施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建设工程监理必须依照国家和省有关规定实行招标投标制度。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监理单位应当与项目法人参照国家有关主管部门制定的标准示范文本，签订书面建设工程监理合同。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建设工程监理合同的主要条款应当包括：监理的范围和内容、双方的权利与义务、监理费的计取标准与支付方式、违约责任、双方约定的其他事项。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项目法人应当自建设工程监理合同签订之日起十五日内，将合同文本报住房和城乡建设行政管理部门备案。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外商投资建设和利用国外贷款、捐款建设的工程项目的监理，按照国家有关规定办理。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监理单位实施监理应当按照下列程序进行：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（一）组建监理机构，确定监理人员，编制监理规划并将监理规划提交项目法人；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（二）按照工程建设进度分专业编制监理细则；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（三）按照监理细则进行监理；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（四）参与工程竣工验收，签署监理意见；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（五）监理业务完成后，向项目法人移交监理档案资料。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监理单位应当根据合同约定的监理业务，成立由总监理工程师、监理工程师及其他监理人员组成的监理机构。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监理项目实行总监理工程师负责制。总监理工程师应当根据监理合同对建设工程进行监督管理。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建设工程项目实施监理前，项目法人应当向勘察、设计以及施工单位发出书面通知，告知监理单位名称、监理内容、监理权限及总监理工程师姓名等事项；总监理工程师应当向勘察、设计以及施工单位发出书面通知，告知项目监理机构组成人员姓名及监理权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被监理工程的勘察、设计以及施工单位应当接受监理单位的监督管理，按照监理单位的要求及时提供必要的资料。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承担施工阶段监理业务的监理机构应当进驻施工现场，派驻施工现场的监理工程师应当具备与该工程施工阶段技术要求相适应的专业知识和管理能力。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监理工程师发现工程设计不符合建设工程质量标准、设计规范或者合同约定的质量要求的，应当报告项目法人要求设计单位改正。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工程施工不符合工程设计要求、施工技术标准或者合同约定的。监理工程师应当出具书面通知要求施工单位改正。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实施监理过程中，项目法人对勘察、设计以及施工单位和有关单位的工程建设指令均应通过总监理工程师发布。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项目法人发出的指令违反法律、法规规定的，总监理工程师有权拒绝执行，并书面通知项目法人。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监理单位不得与项目法人或者勘察、设计、施工单位串通，弄虚作假，损害国家或者他人的合法利益。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监理工程师及其他监理人员不履行监理职责或者不称职的，项目法人有权要求监理单位及时更换。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建设工程监理费计取标准按照国家有关规定执行，任何单位和个人不得擅自降低或者抬高。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监理费单独列入工程概算。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项目法人违反本条例第十四条的第一款规定，应当实施监理的建设工程项目未实施监理的，责令改正；拒不改正的，不予办理工程报建审批手续。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违反本条例规定需要给予行政处罚的，依法给予处罚。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住房和城乡建设行政管理部门及其他有关部门的工作人员在建设工程监理管理工作中玩忽职守、滥用职权、徇私舞弊，尚不构成犯罪的，依法给予处分；构成犯罪的，依法追究刑事责任。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当事人对行政机关作出的具体行政行为不服的，可以依法申请行政复议或者提起行政诉讼。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cs="黑体"/>
          <w:sz w:val="32"/>
          <w:szCs w:val="32"/>
        </w:rPr>
      </w:pPr>
      <w:r>
        <w:rPr>
          <w:rFonts w:hint="eastAsia" w:ascii="黑体" w:hAnsi="黑体" w:eastAsia="黑体" w:cs="黑体"/>
          <w:sz w:val="32"/>
          <w:szCs w:val="32"/>
        </w:rPr>
        <w:t>第三十八条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rPr>
        <w:t>本条例</w:t>
      </w:r>
      <w:r>
        <w:rPr>
          <w:rFonts w:hint="default" w:ascii="Times New Roman" w:hAnsi="Times New Roman" w:eastAsia="仿宋_GB2312" w:cs="Times New Roman"/>
          <w:sz w:val="32"/>
          <w:szCs w:val="32"/>
        </w:rPr>
        <w:t>自1999年1月1日起施行</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等线">
    <w:altName w:val="Arial Unicode MS"/>
    <w:panose1 w:val="02010600030101010101"/>
    <w:charset w:val="86"/>
    <w:family w:val="auto"/>
    <w:pitch w:val="default"/>
    <w:sig w:usb0="00000000" w:usb1="00000000"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楷体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ABE8B0"/>
    <w:multiLevelType w:val="singleLevel"/>
    <w:tmpl w:val="58ABE8B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71B2962"/>
    <w:rsid w:val="173C4B1A"/>
    <w:rsid w:val="19C27B80"/>
    <w:rsid w:val="1A05028C"/>
    <w:rsid w:val="1C5A0309"/>
    <w:rsid w:val="1F4149E1"/>
    <w:rsid w:val="1FC4656E"/>
    <w:rsid w:val="221573AC"/>
    <w:rsid w:val="28335AC5"/>
    <w:rsid w:val="2CCF4C96"/>
    <w:rsid w:val="32367FC3"/>
    <w:rsid w:val="324F61E6"/>
    <w:rsid w:val="34BD50C3"/>
    <w:rsid w:val="34CE1050"/>
    <w:rsid w:val="387C2F0F"/>
    <w:rsid w:val="3DE63740"/>
    <w:rsid w:val="411C6AA7"/>
    <w:rsid w:val="44F86EB3"/>
    <w:rsid w:val="481351D2"/>
    <w:rsid w:val="484E1F5E"/>
    <w:rsid w:val="497958A5"/>
    <w:rsid w:val="4D49738B"/>
    <w:rsid w:val="53543565"/>
    <w:rsid w:val="558A062C"/>
    <w:rsid w:val="5A6C4824"/>
    <w:rsid w:val="5AE2535B"/>
    <w:rsid w:val="622F12CF"/>
    <w:rsid w:val="71510128"/>
    <w:rsid w:val="775E649E"/>
    <w:rsid w:val="7F7D2A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qFormat="1" w:uiPriority="99" w:semiHidden="0"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5">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8">
    <w:name w:val="Default Paragraph Font"/>
    <w:unhideWhenUsed/>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customStyle="1" w:styleId="2">
    <w:name w:val="BodyText1I"/>
    <w:basedOn w:val="3"/>
    <w:next w:val="4"/>
    <w:qFormat/>
    <w:uiPriority w:val="0"/>
    <w:pPr>
      <w:suppressAutoHyphens/>
      <w:spacing w:after="140" w:line="276" w:lineRule="auto"/>
      <w:ind w:firstLine="100" w:firstLineChars="100"/>
      <w:jc w:val="both"/>
      <w:textAlignment w:val="baseline"/>
    </w:pPr>
    <w:rPr>
      <w:rFonts w:ascii="Calibri" w:hAnsi="Calibri" w:eastAsia="宋体"/>
      <w:color w:val="000000"/>
      <w:kern w:val="2"/>
      <w:sz w:val="21"/>
      <w:szCs w:val="24"/>
      <w:lang w:val="en-US" w:eastAsia="zh-CN" w:bidi="ar-SA"/>
    </w:rPr>
  </w:style>
  <w:style w:type="paragraph" w:customStyle="1" w:styleId="3">
    <w:name w:val="BodyText"/>
    <w:basedOn w:val="1"/>
    <w:qFormat/>
    <w:uiPriority w:val="0"/>
    <w:pPr>
      <w:textAlignment w:val="baseline"/>
    </w:pPr>
    <w:rPr>
      <w:rFonts w:ascii="等线" w:hAnsi="等线" w:eastAsia="等线"/>
      <w:szCs w:val="22"/>
    </w:rPr>
  </w:style>
  <w:style w:type="paragraph" w:styleId="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Indent"/>
    <w:basedOn w:val="1"/>
    <w:next w:val="1"/>
    <w:unhideWhenUsed/>
    <w:qFormat/>
    <w:uiPriority w:val="99"/>
    <w:pPr>
      <w:keepNext w:val="0"/>
      <w:keepLines w:val="0"/>
      <w:widowControl w:val="0"/>
      <w:suppressLineNumbers w:val="0"/>
      <w:adjustRightInd w:val="0"/>
      <w:spacing w:before="0" w:beforeAutospacing="0" w:after="0" w:afterAutospacing="0" w:line="360" w:lineRule="auto"/>
      <w:ind w:left="0" w:right="0" w:firstLine="420"/>
      <w:jc w:val="both"/>
    </w:pPr>
    <w:rPr>
      <w:rFonts w:hint="default" w:ascii="Calibri" w:hAnsi="Calibri" w:eastAsia="宋体" w:cs="Times New Roman"/>
      <w:kern w:val="0"/>
      <w:sz w:val="24"/>
      <w:szCs w:val="24"/>
      <w:lang w:val="en-US" w:eastAsia="zh-CN" w:bidi="ar"/>
    </w:rPr>
  </w:style>
  <w:style w:type="paragraph" w:styleId="7">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8">
    <w:name w:val="Body Text"/>
    <w:basedOn w:val="1"/>
    <w:next w:val="7"/>
    <w:qFormat/>
    <w:uiPriority w:val="0"/>
    <w:rPr>
      <w:rFonts w:ascii="Calibri" w:hAnsi="Calibri" w:eastAsia="仿宋_GB2312"/>
      <w:szCs w:val="24"/>
    </w:rPr>
  </w:style>
  <w:style w:type="paragraph" w:styleId="9">
    <w:name w:val="Body Text Indent"/>
    <w:basedOn w:val="1"/>
    <w:next w:val="6"/>
    <w:unhideWhenUsed/>
    <w:qFormat/>
    <w:uiPriority w:val="99"/>
    <w:pPr>
      <w:spacing w:after="120"/>
      <w:ind w:left="420" w:leftChars="200"/>
    </w:pPr>
  </w:style>
  <w:style w:type="paragraph" w:styleId="10">
    <w:name w:val="toc 3"/>
    <w:basedOn w:val="1"/>
    <w:next w:val="1"/>
    <w:unhideWhenUsed/>
    <w:qFormat/>
    <w:uiPriority w:val="39"/>
    <w:pPr>
      <w:ind w:left="840" w:leftChars="400"/>
    </w:pPr>
    <w:rPr>
      <w:szCs w:val="20"/>
    </w:rPr>
  </w:style>
  <w:style w:type="paragraph" w:styleId="11">
    <w:name w:val="Plain Text"/>
    <w:basedOn w:val="1"/>
    <w:next w:val="12"/>
    <w:unhideWhenUsed/>
    <w:qFormat/>
    <w:uiPriority w:val="0"/>
    <w:rPr>
      <w:rFonts w:ascii="宋体" w:hAnsi="Courier New" w:cs="Courier New"/>
      <w:szCs w:val="21"/>
    </w:rPr>
  </w:style>
  <w:style w:type="paragraph" w:styleId="12">
    <w:name w:val="index 9"/>
    <w:basedOn w:val="1"/>
    <w:next w:val="1"/>
    <w:unhideWhenUsed/>
    <w:qFormat/>
    <w:uiPriority w:val="99"/>
    <w:pPr>
      <w:widowControl w:val="0"/>
      <w:ind w:firstLine="420"/>
    </w:pPr>
    <w:rPr>
      <w:rFonts w:eastAsia="仿宋_GB2312" w:cs="Times New Roman"/>
      <w:kern w:val="2"/>
      <w:sz w:val="21"/>
    </w:rPr>
  </w:style>
  <w:style w:type="paragraph" w:styleId="13">
    <w:name w:val="footer"/>
    <w:basedOn w:val="1"/>
    <w:next w:val="14"/>
    <w:link w:val="21"/>
    <w:unhideWhenUsed/>
    <w:qFormat/>
    <w:uiPriority w:val="99"/>
    <w:pPr>
      <w:tabs>
        <w:tab w:val="center" w:pos="4153"/>
        <w:tab w:val="right" w:pos="8306"/>
      </w:tabs>
      <w:snapToGrid w:val="0"/>
      <w:jc w:val="left"/>
    </w:pPr>
    <w:rPr>
      <w:sz w:val="18"/>
      <w:szCs w:val="18"/>
    </w:rPr>
  </w:style>
  <w:style w:type="paragraph" w:customStyle="1" w:styleId="14">
    <w:name w:val="索引 51"/>
    <w:basedOn w:val="1"/>
    <w:next w:val="1"/>
    <w:qFormat/>
    <w:uiPriority w:val="0"/>
    <w:pPr>
      <w:spacing w:before="100" w:beforeAutospacing="1" w:after="100" w:afterAutospacing="1"/>
      <w:ind w:left="1680"/>
    </w:pPr>
  </w:style>
  <w:style w:type="paragraph" w:styleId="15">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16">
    <w:name w:val="Body Text First Indent 2"/>
    <w:basedOn w:val="9"/>
    <w:next w:val="1"/>
    <w:qFormat/>
    <w:uiPriority w:val="0"/>
    <w:pPr>
      <w:ind w:firstLine="420"/>
    </w:pPr>
    <w:rPr>
      <w:rFonts w:ascii="Calibri" w:hAnsi="Calibri" w:eastAsia="宋体" w:cs="Times New Roman"/>
      <w:szCs w:val="24"/>
    </w:rPr>
  </w:style>
  <w:style w:type="character" w:styleId="19">
    <w:name w:val="FollowedHyperlink"/>
    <w:unhideWhenUsed/>
    <w:qFormat/>
    <w:uiPriority w:val="99"/>
    <w:rPr>
      <w:color w:val="954F72"/>
      <w:u w:val="single"/>
    </w:rPr>
  </w:style>
  <w:style w:type="character" w:styleId="20">
    <w:name w:val="Hyperlink"/>
    <w:qFormat/>
    <w:uiPriority w:val="99"/>
    <w:rPr>
      <w:rFonts w:hint="default" w:ascii="ˎ̥" w:hAnsi="ˎ̥"/>
      <w:color w:val="0404B3"/>
      <w:sz w:val="18"/>
      <w:szCs w:val="18"/>
      <w:u w:val="none"/>
    </w:rPr>
  </w:style>
  <w:style w:type="character" w:customStyle="1" w:styleId="21">
    <w:name w:val="页脚 字符"/>
    <w:link w:val="13"/>
    <w:qFormat/>
    <w:uiPriority w:val="99"/>
    <w:rPr>
      <w:sz w:val="18"/>
      <w:szCs w:val="18"/>
    </w:rPr>
  </w:style>
  <w:style w:type="character" w:customStyle="1" w:styleId="22">
    <w:name w:val="页眉 字符"/>
    <w:link w:val="4"/>
    <w:qFormat/>
    <w:uiPriority w:val="99"/>
    <w:rPr>
      <w:sz w:val="18"/>
      <w:szCs w:val="18"/>
    </w:rPr>
  </w:style>
  <w:style w:type="paragraph" w:customStyle="1" w:styleId="2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24">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25">
    <w:name w:val="列出段落1"/>
    <w:basedOn w:val="1"/>
    <w:unhideWhenUsed/>
    <w:qFormat/>
    <w:uiPriority w:val="1"/>
    <w:pPr>
      <w:spacing w:before="4"/>
      <w:ind w:left="106" w:right="271" w:firstLine="640"/>
    </w:pPr>
    <w:rPr>
      <w:rFonts w:hint="eastAsi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3460</Words>
  <Characters>3480</Characters>
  <Lines>1</Lines>
  <Paragraphs>1</Paragraphs>
  <TotalTime>2</TotalTime>
  <ScaleCrop>false</ScaleCrop>
  <LinksUpToDate>false</LinksUpToDate>
  <CharactersWithSpaces>3543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2023-08-09T10:56:02Z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