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/>
        <w:jc w:val="center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宋体" w:hAnsi="宋体" w:cs="宋体"/>
          <w:sz w:val="44"/>
          <w:szCs w:val="44"/>
        </w:rPr>
        <w:t>湖南省服务价格管理条例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630" w:leftChars="300" w:right="630" w:rightChars="30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32"/>
          <w:szCs w:val="32"/>
        </w:rPr>
      </w:pPr>
      <w:r>
        <w:rPr>
          <w:rFonts w:hint="eastAsia" w:ascii="楷体_GB2312" w:hAnsi="楷体_GB2312" w:eastAsia="楷体_GB2312" w:cs="楷体_GB2312"/>
          <w:sz w:val="32"/>
          <w:szCs w:val="32"/>
        </w:rPr>
        <w:t>（2000年11月29日湖南省第九届人民代表大会常务委员会第十九次会议通过</w:t>
      </w:r>
      <w:r>
        <w:rPr>
          <w:rFonts w:hint="eastAsia" w:ascii="楷体_GB2312" w:hAnsi="楷体_GB2312" w:eastAsia="楷体_GB2312" w:cs="楷体_GB2312"/>
          <w:sz w:val="32"/>
          <w:szCs w:val="32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z w:val="32"/>
          <w:szCs w:val="32"/>
        </w:rPr>
        <w:t>根据2016年7月30日湖南省第十二届人民代表大会常务委员会第二十三次会议《关于修改〈湖南省行政事业性收费管理条例〉等五部地方性法规的决定》修正）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第一条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为了规范服务价格行为，维护消费者、经营者的合法权益，发挥服务价格合理配置资源的作用，根据《中华人民共和国价格法》和其他有关法律、法规的规定，结合本省实际，制定本条例。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第二条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在本省行政区域内发生的服务价格行为，适用本条例。国家机关的收费依照国家法律、行政法规和《湖南省行政事业性收费管理条例》的规定执行。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本条例所称服务价格，是指公民、法人和其他组织利用场地、设施、信息、知识、技术、劳动力等为消费者提供有偿服务的收费。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第三条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县级以上人民政府价格主管部门负责本行政区域内的服务价格工作，其他有关部门在各自职责范围内协助做好有关的服务价格工作。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第四条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服务价格依据服务项目的性质和重要程度，分别实行市场调节价、政府指导价或者政府定价。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第五条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市场调节价由经营者按照公平、合法和诚实信用的原则，根据服务成本和市场供求状况自主制定。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第六条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下列服务价格可以实行政府指导价或者政府定价：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（一）重要的公用事业价格和公益性服务价格；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（二）不具备竞争条件的重要中介服务价格；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（三）应当由省人民政府确定的其他服务价格。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实行政府指导价、政府定价的具体服务价格项目，以中央和省规定的定价目录为依据。定价目录由省人民政府价格主管部门向社会公布。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第七条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价格主管部门制定政府指导价、政府定价，应当开展成本调查，掌握和了解经营者的经营状况、管理水平、行业服务成本、市场供求状况和社会承受能力，并广泛听取经营者、消费者和行业主管部门以及消费者委员会等方面的意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第八条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经营者或者行业主管部门对纳入地方定价目录的服务价格项目，应当按照价格管理权限向价格主管部门提出定价申请，价格主管部门应当自收到申请之日起六十日内作出答复。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第九条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制定和调整下列关系公众切身利益的政府指导价、政府定价，应当进行听证：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（一）国家举办的高中、中专、大学学历教育收费和公立医疗机构基本医疗服务收费、殡葬基本服务价格等公益性服务价格；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（二）城市公共交通票价（含出租车）、有线电视收视维护费、国家级风景名胜区重要游览参观点门票价格等公用事业价格；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（三）价格听证目录中的其他服务价格。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前款所列价格项目，未经听证，不得制定或者调整。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听证会由价格主管部门组织进行。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价格主管部门应当在举行听证会十五日前公告举行听证会的时间、地点、定价听证方案要点、听证会参加人和听证人名单。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第十一条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举行听证会，价格主管部门应当提供有关详细资料，让申请人陈述要求制定或者调整服务价格的理由、依据，充分听取参加者的意见。对服务价格制定或者调整的有关问题，价格主管部门应当作出解释。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第十二条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价格主管部门在制定或者调整服务价格时，应当充分考虑听证会提出的合理意见。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第十三条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经营者必须明码标价，在经营场所的醒目位置公布服务项目、服务内容、服务规范和收费标准。经营者不得收取任何未予标明的费用，不得只收费不服务或者收费后减少服务数量、降低服务质量，不得对消费者和具有同种条件的其他经营者实行价格歧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实行政府指导价、政府定价的，经营者不得擅自设立收费项目、扩大收费范围、提高收费标准。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第十四条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国家机关不得将职责范围内的公务以有偿服务的名义进行收费，或者要求消费者接受指定的经营者提供服务。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第十五条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价格主管部门应当依法加强对服务价格活动的监督检查。对实行政府指导价、政府定价的，应当进行经常性检查；对实行市场调节价的，应当不定期进行抽查；对举报的服务价格违法行为，应当及时查实，依法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第十六条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违反本条例第十三条规定的，依照《中华人民共和国价格法》和其他有关法律、法规的规定处罚。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违反本条例第十四条规定的，由价格主管部门责令改正、退还所收款项，无法退还的，予以收缴；对直接负责的主管人员和其他直接责任人员，依法给予行政处分；构成犯罪的，依法追究刑事责任。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第十七条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价格工作人员在服务价格管理工作中滥用职权、徇私舞弊、玩忽职守，构成犯罪的，依法追究刑事责任；尚不构成犯罪的，依法给予行政处分。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80" w:lineRule="atLeast"/>
        <w:ind w:left="0" w:leftChars="0"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第十八条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z w:val="32"/>
          <w:szCs w:val="32"/>
        </w:rPr>
        <w:t>本条例自2001年1月1日起施行。</w:t>
      </w:r>
    </w:p>
    <w:sectPr>
      <w:footerReference r:id="rId3" w:type="default"/>
      <w:footerReference r:id="rId4" w:type="even"/>
      <w:pgSz w:w="11906" w:h="16838"/>
      <w:pgMar w:top="2154" w:right="1531" w:bottom="1814" w:left="1531" w:header="850" w:footer="1247" w:gutter="0"/>
      <w:paperSrc/>
      <w:pgNumType w:fmt="numberInDash"/>
      <w:cols w:space="720" w:num="1"/>
      <w:rtlGutter w:val="0"/>
      <w:docGrid w:type="linesAndChars" w:linePitch="579" w:charSpace="1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  \* MERGEFORMAT 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sz w:val="28"/>
        <w:szCs w:val="28"/>
        <w:lang w:val="zh-CN"/>
      </w:rPr>
      <w:t>-</w:t>
    </w:r>
    <w:r>
      <w:rPr>
        <w:rFonts w:ascii="Times New Roman" w:hAnsi="Times New Roman"/>
        <w:sz w:val="28"/>
        <w:szCs w:val="28"/>
        <w:lang/>
      </w:rPr>
      <w:t xml:space="preserve"> 1 -</w:t>
    </w:r>
    <w:r>
      <w:rPr>
        <w:rFonts w:ascii="Times New Roman" w:hAnsi="Times New Roman"/>
        <w:sz w:val="28"/>
        <w:szCs w:val="28"/>
      </w:rPr>
      <w:fldChar w:fldCharType="end"/>
    </w:r>
    <w:r>
      <w:rPr>
        <w:rFonts w:hint="eastAsia" w:ascii="Times New Roman" w:hAnsi="Times New Roman"/>
        <w:sz w:val="28"/>
        <w:szCs w:val="28"/>
        <w:lang w:val="en-US" w:eastAsia="zh-CN"/>
      </w:rPr>
      <w:t xml:space="preserve"> </w:t>
    </w:r>
  </w:p>
  <w:p>
    <w:pPr>
      <w:pStyle w:val="2"/>
      <w:rPr>
        <w:rFonts w:ascii="Times New Roman" w:hAnsi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Times New Roman" w:hAnsi="Times New Roman"/>
        <w:sz w:val="28"/>
        <w:szCs w:val="28"/>
      </w:rPr>
    </w:pPr>
    <w:r>
      <w:rPr>
        <w:rFonts w:hint="eastAsia" w:ascii="Times New Roman" w:hAnsi="Times New Roman"/>
        <w:sz w:val="28"/>
        <w:szCs w:val="28"/>
        <w:lang w:val="en-US" w:eastAsia="zh-CN"/>
      </w:rPr>
      <w:t xml:space="preserve"> </w:t>
    </w: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  \* MERGEFORMAT 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sz w:val="28"/>
        <w:szCs w:val="28"/>
        <w:lang w:val="zh-CN"/>
      </w:rPr>
      <w:t>-</w:t>
    </w:r>
    <w:r>
      <w:rPr>
        <w:rFonts w:ascii="Times New Roman" w:hAnsi="Times New Roman"/>
        <w:sz w:val="28"/>
        <w:szCs w:val="28"/>
        <w:lang/>
      </w:rPr>
      <w:t xml:space="preserve"> 2 -</w:t>
    </w:r>
    <w:r>
      <w:rPr>
        <w:rFonts w:ascii="Times New Roman" w:hAnsi="Times New Roman"/>
        <w:sz w:val="28"/>
        <w:szCs w:val="28"/>
      </w:rPr>
      <w:fldChar w:fldCharType="end"/>
    </w:r>
  </w:p>
  <w:p>
    <w:pPr>
      <w:pStyle w:val="2"/>
      <w:rPr>
        <w:rFonts w:ascii="Times New Roman" w:hAnsi="Times New Roman"/>
        <w:sz w:val="28"/>
        <w:szCs w:val="2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evenAndOddHeaders w:val="1"/>
  <w:drawingGridHorizontalSpacing w:val="105"/>
  <w:drawingGridVerticalSpacing w:val="579"/>
  <w:displayHorizontalDrawingGridEvery w:val="2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856A91"/>
    <w:rsid w:val="006B609A"/>
    <w:rsid w:val="00E9647D"/>
    <w:rsid w:val="110E7B2E"/>
    <w:rsid w:val="14C92674"/>
    <w:rsid w:val="15726075"/>
    <w:rsid w:val="2267192B"/>
    <w:rsid w:val="24573792"/>
    <w:rsid w:val="2FB00A31"/>
    <w:rsid w:val="3F856A91"/>
    <w:rsid w:val="5B6E375A"/>
    <w:rsid w:val="602764FB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6">
    <w:name w:val="页脚 Char"/>
    <w:basedOn w:val="4"/>
    <w:link w:val="2"/>
    <w:uiPriority w:val="99"/>
    <w:rPr>
      <w:kern w:val="2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273</Words>
  <Characters>1559</Characters>
  <Lines>12</Lines>
  <Paragraphs>3</Paragraphs>
  <ScaleCrop>false</ScaleCrop>
  <LinksUpToDate>false</LinksUpToDate>
  <CharactersWithSpaces>1829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2017-02-07T11:27:00Z</dcterms:created>
  <dc:creator>Administrator</dc:creator>
  <cp:lastModifiedBy>Administrator</cp:lastModifiedBy>
  <dcterms:modified xsi:type="dcterms:W3CDTF">2017-02-21T08:45:37Z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