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湖南省渔业条例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（1988年5月8日湖南省第七届人民代表大会常务委员会第二次会议通过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根据1994年7月7日湖南省第八届人民代表大会常务委员会第九次会议《关于修改〈湖南省渔业条例〉的决定》第一次修正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根据1997年11月29日湖南省第八届人民代表大会常务委员会第三十一次会议《关于修改〈湖南省渔业条例〉的决定》第二次修正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根据2002年3月29日湖南省第九届人民代表大会常务委员会第二十八次会议《关于修改〈湖南省渔业条例〉的决定》第三次修正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根据2004年7月30日湖南省第十届人民代表大会常务委员会第十次会议《关于修改〈湖南省渔业条例〉的决定》第四次修正</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根据2010年7月29日湖南省第十一届人民代表大会常务委员会第十七次会议《关于修改部分地方性法规的决定》第五次修正）</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养殖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捕捞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渔业资源的保护和增殖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奖励和处罚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根据《中华人民共和国渔业法》和《中华人民共和国渔业法实施细则》，结合我省实际情况，制定本条例。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在我省境内从事养殖和捕捞水生动物以及其他渔业活动，均须遵守本条例。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各级人民政府应当把渔业生产纳入国民经济发展计划，加强水域的统一规划和综合利用，发展人工养殖，合理安排捕捞，保护和增殖渔业资源，培育水产市场，促进渔业发展。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县级以上人民政府的渔业行政主管部门主管本行政区域内的渔业工作。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跨行政区域水域的渔业工作，可以由上一级人民政府的渔业行政主管部门根据该水域的特点，制定统一管理办法。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各级渔业行政主管部门根据需要设立渔政监督管理机构或者配备渔政检查员。渔政检查员由省渔业行政主管部门考核发证。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渔政监督管理的主要任务：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(一)宣传渔业法律、法规，监督检查渔业法律、法规的实施。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(二)登记检验渔业船舶，核发渔船牌照、渔船驾驶执照和捕捞许可证，调查处理渔业船舶之间的交通事故。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(三)维护渔业生产秩序，依法查处违反渔业法律、法规的行为，保护渔业生产者的合法权益。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(四)保护、增殖渔业资源以及珍贵水生野生动物资源。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(五)保护渔业生态环境，依法对渔业水域污染防治实施监督管理。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渔政检查人员执行渔业行政主管部门及其所属渔政监督管理机构交付的任务，有权对渔获物、渔业证件、渔船、渔具、捕鱼方法以及渔用配合饲料、渔用药品进行监督检查。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公安、环境保护、工商行政管理、血防、湖洲管理、水利、交通等部门，应当根据各自的职责，配合渔业行政主管部门及其所属渔政监督管理机构，监督检查渔业法律、法规的实施。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各级渔业行政主管部门应当组织有关单位加强渔业科学研究，推广优良品种和先进技术，提高渔业科学技术水平。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养殖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依照《中华人民共和国土地管理法》和《湖南省实施〈中华人民共和国土地管理法〉办法》确定和维护水面的权属。水面的所有权和使用权有争议的，按《湖南省实施〈中华人民共和国土地管理法〉办法》的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全民所有和集体所有的养殖水面，可以确定给单位或者个人经营，也可以跨地区、跨行业联合经营。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在全民所有的水面从事水产养殖的单位和个人，由县级以上人民政府渔业行政主管部门审核，报同级人民政府核发养殖使用证。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实行承包经营和联合经营的水面，有关各方应当签订合同或协议，严格按合同或协议的规定从事养殖生产。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鼓励养殖水面的经营者合理利用水面，发展养殖生产，鼓励围栏养殖、网箱养鱼和稻田养鱼，各级人民政府应当在资金、物资、技术等方面给予扶持。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任何单位和个人不得破坏养殖水体和养殖设施。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禁止偷鱼、抢鱼、毒鱼和其他侵害养殖者合法权益的行为。在养殖水面钓鱼，须经养殖者同意。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建设单位征用和个人经批准占用精养鱼池，必须按规定向县级以上人民政府渔业行政主管部门缴纳新鱼池开发建设基金。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新鱼池开发建设基金必须专款专用。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以经营为目的的鱼类杂交制种和鱼用疫苗生产实行许可证制度。生产许可证由省渔业行政主管部门审发。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销售水生动物苗种，必须保质保量。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进出口水产资源品种，必须按国家规定办理批准手续，并进行检疫。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县级以上人民政府应当划定商品鱼基地、城市郊区养殖水面渔业养殖生产保护区。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用于渔业养殖并兼有调蓄、灌溉等功能的水体，由县级以上人民政府渔业行政主管部门会同有关部门确定渔业生产所需的最低水位线。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捕捞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在天然水域从事捕捞生产的单位和个人，应当向所在县(市)渔业行政主管部门申请领取捕捞许可证。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捕捞许可证由省渔业行政主管部门根据资源情况确定发放数量，由县(市)人民政府渔业行政主管部门审批发放。持有捕捞许可证的单位和个人，应当按捕捞许可证核准的项目进行作业，并定期到原发证机关办理签证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新增、更新改造捕捞船舶，须经县(市)渔业行政主管部门批准。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外省渔民进入我省境内捕鱼，须持所在地发放的捕捞许可证，经我省省渔业行政主管部门或其授权的机构审核批准；未经批准的按无证捕捞处理。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在天然水域捕捞三角帆蚌、皱纹冠蚌、背瘤丽蚌、失衡丽蚌等贝类，须经当地县(市)渔业行政主管部门批准。运出省的，须经省渔业行政主管部门批准。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渔船作业、航行，必须遵守国家和省有关渔船、渔港安全监督管理和渔船检验的规定。渔船须经检验合格，配备安全设施，取得《渔业船舶证书》和牌照。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渔业资源的保护和增殖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禁止捕捞和贩卖白鳍豚、江豚、大鲵(娃娃鱼)、白鲟、中华鲟、长江鲟等珍贵水生动物。无意捕获的应当放回原水域；受到伤害的，应当采取保护措施，并及时报告有关主管部门处理。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水生动物的捕捞标准：青鱼、草鱼、鲢鱼、鳙鱼500克以上；湘华鲮、白甲鱼、鳜鱼、乌鳢、管鱼250克以上；鳊鱼、鲤鱼200克以上；龟、鳖(甲鱼)250克以上。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长江水域的禁捕品种、捕捞标准执行国家的统一规定，我省与湖北省共管水域的捕捞标准由共管双方渔业行政主管部门商定。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主要渔具的网目不得小于下列标准：中速网囊网9厘米，三层刺网中间层网衣8厘米，刺网(丝网，不含刁子网)7厘米，流刺网12厘米，稀大网取鱼部分网衣7厘米，卡子钓的卡子长度6厘米。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炸鱼、毒鱼、电力捕鱼。禁止使用迷魂阵、拦江网、布围子(沙套网)、虾阵、二密网、麻布网、布毫、密毫、麻毫、放涵筒、塞春湖(港)。禁止使用机动船拖带铁爪耙捕捞河蚌和其他水生动物。禁止拦河、拦湖截捕或在鱼类洄游通道以及闸门上套网捕鱼。禁止使用鸬鹚捕鱼。在特定水域确有必要使用鸬鹚捕鱼时，须经省渔业行政主管部门或其授权的机构批准。禁止使用矮围子(含泥围子)捕鱼。血防矮围应当常年蓄水灭螺，不准放水捕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不准制造、销售禁用的渔具，不准传授禁用的捕鱼方法，不准宣传禁用的渔具、捕鱼方法。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禁止捕捞散仔鱼和有重要经济价值的水生动物苗种。确因科学研究或者资源考察需要捕捞的，须经省渔业行政主管部门批准。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鱼类主要产卵场、越冬场、幼体索饵场、洄游通道，由所在县级人民政府规定禁渔区、禁渔期；跨行政区域的，由上一级人民政府规定禁渔区、禁渔期。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禁止向渔业水域排放不符合国家规定排放标准的工业废水，禁止向渔业水域倾倒工业废渣和其他废弃物。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县级以上人民政府环境保护行政主管部门征收的排污水费用于水域综合整治，应当对渔业水体和渔业资源的保护作出统一安排。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进行水下爆破施工、血防灭螺或者芦苇治虫，应当与所在县(市)的渔业行政主管部门协商，避开鱼类集中产卵场所和繁衍高峰期，并采取保护措施。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从事渔业生产的单位和专业户应当按规定缴纳渔业资源增殖保护费，用于增殖和保护渔业资源。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奖励和处罚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有下列条件之一的单位和个人，由各级人民政府给予奖励：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(一)发展渔业生产和保护渔业资源成绩显著的。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(二)在渔业科学研究和技术推广工作中有突出贡献的。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(三)贯彻执行渔业法律、法规有突出成绩的。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违反本条例规定，依照法律、行政法规应当给予行政处罚的，依法给予处罚。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违反本条例第二十九条第一款、第三十条规定，造成渔业资源严重损失的，由县级以上人民政府或者其所属的渔业行政主管部门责令赔偿。赔偿费用用于保护和增殖渔业资源。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拒绝、阻碍渔政人员依法履行职务的，破坏渔船、渔具、渔获物的，由公安机关依照《中华人民共和国治安管理处罚法》的规定处罚。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违反渔业法律、法规构成犯罪的，依法追究刑事责任。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渔政管理人员滥用职权，玩忽职守，徇私舞弊的，由其所在单位或者上级主管部门给予行政处分；构成犯罪的，由司法机关依法追究刑事责任。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本条例自1988年7月1日起施行，《湖南省水产管理暂行条例》同时废止。</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66E52DE"/>
    <w:rsid w:val="19C92B42"/>
    <w:rsid w:val="1A55796C"/>
    <w:rsid w:val="216407CF"/>
    <w:rsid w:val="280A3758"/>
    <w:rsid w:val="31DD71E5"/>
    <w:rsid w:val="33223D0D"/>
    <w:rsid w:val="42BC47AE"/>
    <w:rsid w:val="4E720E8D"/>
    <w:rsid w:val="578350E1"/>
    <w:rsid w:val="59682FEF"/>
    <w:rsid w:val="62951CD3"/>
    <w:rsid w:val="67763428"/>
    <w:rsid w:val="6F6010DB"/>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2017-03-17T05:26:33Z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