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湖南省警务辅助人员条例</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楷体_GB2312" w:eastAsia="楷体_GB2312"/>
          <w:szCs w:val="32"/>
        </w:rPr>
      </w:pPr>
      <w:r>
        <w:rPr>
          <w:rFonts w:hint="eastAsia" w:ascii="楷体_GB2312" w:eastAsia="楷体_GB2312"/>
          <w:szCs w:val="32"/>
        </w:rPr>
        <w:t>（2020年11月27日湖南省第十三届人民代表大会常务委员会</w:t>
      </w:r>
    </w:p>
    <w:p>
      <w:pPr>
        <w:keepNext w:val="0"/>
        <w:keepLines w:val="0"/>
        <w:pageBreakBefore w:val="0"/>
        <w:widowControl w:val="0"/>
        <w:kinsoku/>
        <w:wordWrap/>
        <w:overflowPunct/>
        <w:topLinePunct w:val="0"/>
        <w:autoSpaceDE/>
        <w:autoSpaceDN/>
        <w:bidi w:val="0"/>
        <w:adjustRightInd/>
        <w:snapToGrid/>
        <w:ind w:left="0" w:leftChars="0" w:right="0" w:rightChars="0"/>
        <w:jc w:val="center"/>
        <w:textAlignment w:val="auto"/>
        <w:rPr>
          <w:rFonts w:hint="eastAsia" w:ascii="楷体_GB2312" w:eastAsia="楷体_GB2312"/>
          <w:szCs w:val="32"/>
        </w:rPr>
      </w:pPr>
      <w:bookmarkStart w:id="1" w:name="_GoBack"/>
      <w:bookmarkEnd w:id="1"/>
      <w:r>
        <w:rPr>
          <w:rFonts w:hint="eastAsia" w:ascii="楷体_GB2312" w:eastAsia="楷体_GB2312"/>
          <w:szCs w:val="32"/>
        </w:rPr>
        <w:t>第二十一次会议通过）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第一条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为了规范公安机关警务辅助人员管理，维护警务辅助人员合法权益，保障和监督警务辅助人员依法履行职责，根据有关法律、行政法规，结合本省实际，制定本条例。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本省行政区域内公安机关警务辅助人员的招聘和使用、权利和义务、管理和监督等适用本条例。</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第三条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本条例</w:t>
      </w:r>
      <w:r>
        <w:rPr>
          <w:rFonts w:ascii="Times New Roman" w:hAnsi="Times New Roman" w:eastAsia="仿宋_GB2312"/>
          <w:b w:val="0"/>
          <w:bCs w:val="0"/>
          <w:snapToGrid w:val="0"/>
          <w:color w:val="000000" w:themeColor="text1"/>
          <w:kern w:val="0"/>
          <w:sz w:val="32"/>
          <w:szCs w:val="32"/>
        </w:rPr>
        <w:t>所称警务辅助人员，是指根据公安工作实际需要，面向社会招聘</w:t>
      </w:r>
      <w:r>
        <w:rPr>
          <w:rFonts w:ascii="Times New Roman" w:hAnsi="Times New Roman" w:eastAsia="仿宋_GB2312"/>
          <w:b w:val="0"/>
          <w:bCs w:val="0"/>
          <w:color w:val="000000" w:themeColor="text1"/>
          <w:sz w:val="32"/>
          <w:szCs w:val="32"/>
        </w:rPr>
        <w:t>，为公安机关警务活动提供辅助支持的非人民警察身份人员。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08" w:firstLineChars="200"/>
        <w:textAlignment w:val="auto"/>
        <w:rPr>
          <w:rFonts w:ascii="Times New Roman" w:hAnsi="Times New Roman" w:eastAsia="仿宋_GB2312"/>
          <w:b w:val="0"/>
          <w:bCs w:val="0"/>
          <w:snapToGrid w:val="0"/>
          <w:color w:val="000000" w:themeColor="text1"/>
          <w:spacing w:val="-6"/>
          <w:kern w:val="0"/>
          <w:sz w:val="32"/>
          <w:szCs w:val="32"/>
        </w:rPr>
      </w:pPr>
      <w:r>
        <w:rPr>
          <w:rFonts w:ascii="Times New Roman" w:hAnsi="Times New Roman" w:eastAsia="仿宋_GB2312"/>
          <w:b w:val="0"/>
          <w:bCs w:val="0"/>
          <w:snapToGrid w:val="0"/>
          <w:color w:val="000000" w:themeColor="text1"/>
          <w:spacing w:val="-6"/>
          <w:kern w:val="0"/>
          <w:sz w:val="32"/>
          <w:szCs w:val="32"/>
        </w:rPr>
        <w:t>警务辅助人员分为勤务辅助人员和文职辅助人员。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第四条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县级以上人民政府应当将警务辅助人员队伍建设纳入本地经济社会发展</w:t>
      </w:r>
      <w:r>
        <w:rPr>
          <w:rFonts w:hint="eastAsia" w:ascii="Times New Roman" w:hAnsi="Times New Roman" w:eastAsia="仿宋_GB2312"/>
          <w:b w:val="0"/>
          <w:bCs w:val="0"/>
          <w:snapToGrid w:val="0"/>
          <w:color w:val="000000" w:themeColor="text1"/>
          <w:kern w:val="0"/>
          <w:sz w:val="32"/>
          <w:szCs w:val="32"/>
        </w:rPr>
        <w:t>相关专项</w:t>
      </w:r>
      <w:r>
        <w:rPr>
          <w:rFonts w:ascii="Times New Roman" w:hAnsi="Times New Roman" w:eastAsia="仿宋_GB2312"/>
          <w:b w:val="0"/>
          <w:bCs w:val="0"/>
          <w:snapToGrid w:val="0"/>
          <w:color w:val="000000" w:themeColor="text1"/>
          <w:kern w:val="0"/>
          <w:sz w:val="32"/>
          <w:szCs w:val="32"/>
        </w:rPr>
        <w:t>规划，并将所需经费列入财政预算。</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县级以上公安机关负责警务辅助人员的招聘、使用、管理和监督。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color w:val="000000" w:themeColor="text1"/>
          <w:sz w:val="32"/>
          <w:szCs w:val="32"/>
        </w:rPr>
        <w:t>财政、人力资源和社会保障、退役军人事务</w:t>
      </w:r>
      <w:r>
        <w:rPr>
          <w:rFonts w:ascii="Times New Roman" w:hAnsi="Times New Roman" w:eastAsia="仿宋_GB2312"/>
          <w:b w:val="0"/>
          <w:bCs w:val="0"/>
          <w:snapToGrid w:val="0"/>
          <w:color w:val="000000" w:themeColor="text1"/>
          <w:kern w:val="0"/>
          <w:sz w:val="32"/>
          <w:szCs w:val="32"/>
        </w:rPr>
        <w:t>等部门</w:t>
      </w:r>
      <w:r>
        <w:rPr>
          <w:rFonts w:hint="eastAsia" w:ascii="Times New Roman" w:hAnsi="Times New Roman" w:eastAsia="仿宋_GB2312"/>
          <w:b w:val="0"/>
          <w:bCs w:val="0"/>
          <w:snapToGrid w:val="0"/>
          <w:color w:val="000000" w:themeColor="text1"/>
          <w:kern w:val="0"/>
          <w:sz w:val="32"/>
          <w:szCs w:val="32"/>
        </w:rPr>
        <w:t>以及</w:t>
      </w:r>
      <w:r>
        <w:rPr>
          <w:rFonts w:ascii="Times New Roman" w:hAnsi="Times New Roman" w:eastAsia="仿宋_GB2312"/>
          <w:b w:val="0"/>
          <w:bCs w:val="0"/>
          <w:snapToGrid w:val="0"/>
          <w:color w:val="000000" w:themeColor="text1"/>
          <w:kern w:val="0"/>
          <w:sz w:val="32"/>
          <w:szCs w:val="32"/>
        </w:rPr>
        <w:t>机构编制</w:t>
      </w:r>
      <w:r>
        <w:rPr>
          <w:rFonts w:hint="eastAsia" w:ascii="Times New Roman" w:hAnsi="Times New Roman" w:eastAsia="仿宋_GB2312"/>
          <w:b w:val="0"/>
          <w:bCs w:val="0"/>
          <w:snapToGrid w:val="0"/>
          <w:color w:val="000000" w:themeColor="text1"/>
          <w:kern w:val="0"/>
          <w:sz w:val="32"/>
          <w:szCs w:val="32"/>
        </w:rPr>
        <w:t>工作主管部门</w:t>
      </w:r>
      <w:r>
        <w:rPr>
          <w:rFonts w:ascii="Times New Roman" w:hAnsi="Times New Roman" w:eastAsia="仿宋_GB2312"/>
          <w:b w:val="0"/>
          <w:bCs w:val="0"/>
          <w:snapToGrid w:val="0"/>
          <w:color w:val="000000" w:themeColor="text1"/>
          <w:kern w:val="0"/>
          <w:sz w:val="32"/>
          <w:szCs w:val="32"/>
        </w:rPr>
        <w:t>应当按照各自职责，做好警务辅助人员相关工作。</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723"/>
        <w:textAlignment w:val="auto"/>
        <w:rPr>
          <w:rFonts w:ascii="Times New Roman" w:hAnsi="Times New Roman"/>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第二章  招聘和使用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第五条</w:t>
      </w:r>
      <w:r>
        <w:rPr>
          <w:rFonts w:ascii="仿宋_GB2312" w:hAnsi="Times New Roman" w:eastAsia="仿宋_GB2312"/>
          <w:b w:val="0"/>
          <w:bCs w:val="0"/>
          <w:color w:val="000000" w:themeColor="text1"/>
          <w:sz w:val="32"/>
          <w:szCs w:val="32"/>
        </w:rPr>
        <w:t xml:space="preserve">  </w:t>
      </w:r>
      <w:r>
        <w:rPr>
          <w:rFonts w:hint="eastAsia" w:ascii="Times New Roman" w:hAnsi="Times New Roman" w:eastAsia="仿宋_GB2312"/>
          <w:b w:val="0"/>
          <w:bCs w:val="0"/>
          <w:snapToGrid w:val="0"/>
          <w:color w:val="000000" w:themeColor="text1"/>
          <w:kern w:val="0"/>
          <w:sz w:val="32"/>
          <w:szCs w:val="32"/>
        </w:rPr>
        <w:t>县级以上人民政府应当</w:t>
      </w:r>
      <w:r>
        <w:rPr>
          <w:rFonts w:ascii="Times New Roman" w:hAnsi="Times New Roman" w:eastAsia="仿宋_GB2312"/>
          <w:b w:val="0"/>
          <w:bCs w:val="0"/>
          <w:snapToGrid w:val="0"/>
          <w:color w:val="000000" w:themeColor="text1"/>
          <w:kern w:val="0"/>
          <w:sz w:val="32"/>
          <w:szCs w:val="32"/>
        </w:rPr>
        <w:t>根据社会治安状况、警力配备情况，科学配置并严格控制警务辅助人员规模</w:t>
      </w:r>
      <w:r>
        <w:rPr>
          <w:rFonts w:hint="eastAsia" w:ascii="Times New Roman" w:hAnsi="Times New Roman" w:eastAsia="仿宋_GB2312"/>
          <w:b w:val="0"/>
          <w:bCs w:val="0"/>
          <w:snapToGrid w:val="0"/>
          <w:color w:val="000000" w:themeColor="text1"/>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省</w:t>
      </w:r>
      <w:r>
        <w:rPr>
          <w:rFonts w:hint="eastAsia" w:ascii="Times New Roman" w:hAnsi="Times New Roman" w:eastAsia="仿宋_GB2312"/>
          <w:b w:val="0"/>
          <w:bCs w:val="0"/>
          <w:snapToGrid w:val="0"/>
          <w:color w:val="000000" w:themeColor="text1"/>
          <w:kern w:val="0"/>
          <w:sz w:val="32"/>
          <w:szCs w:val="32"/>
        </w:rPr>
        <w:t>级</w:t>
      </w:r>
      <w:r>
        <w:rPr>
          <w:rFonts w:ascii="Times New Roman" w:hAnsi="Times New Roman" w:eastAsia="仿宋_GB2312"/>
          <w:b w:val="0"/>
          <w:bCs w:val="0"/>
          <w:snapToGrid w:val="0"/>
          <w:color w:val="000000" w:themeColor="text1"/>
          <w:kern w:val="0"/>
          <w:sz w:val="32"/>
          <w:szCs w:val="32"/>
        </w:rPr>
        <w:t>公安</w:t>
      </w:r>
      <w:r>
        <w:rPr>
          <w:rFonts w:hint="eastAsia" w:ascii="Times New Roman" w:hAnsi="Times New Roman" w:eastAsia="仿宋_GB2312"/>
          <w:b w:val="0"/>
          <w:bCs w:val="0"/>
          <w:snapToGrid w:val="0"/>
          <w:color w:val="000000" w:themeColor="text1"/>
          <w:kern w:val="0"/>
          <w:sz w:val="32"/>
          <w:szCs w:val="32"/>
        </w:rPr>
        <w:t>机关</w:t>
      </w:r>
      <w:r>
        <w:rPr>
          <w:rFonts w:ascii="Times New Roman" w:hAnsi="Times New Roman" w:eastAsia="仿宋_GB2312"/>
          <w:b w:val="0"/>
          <w:bCs w:val="0"/>
          <w:snapToGrid w:val="0"/>
          <w:color w:val="000000" w:themeColor="text1"/>
          <w:kern w:val="0"/>
          <w:sz w:val="32"/>
          <w:szCs w:val="32"/>
        </w:rPr>
        <w:t>应当会同同级</w:t>
      </w:r>
      <w:r>
        <w:rPr>
          <w:rFonts w:hint="eastAsia" w:ascii="Times New Roman" w:hAnsi="Times New Roman" w:eastAsia="仿宋_GB2312"/>
          <w:b w:val="0"/>
          <w:bCs w:val="0"/>
          <w:snapToGrid w:val="0"/>
          <w:color w:val="000000" w:themeColor="text1"/>
          <w:kern w:val="0"/>
          <w:sz w:val="32"/>
          <w:szCs w:val="32"/>
        </w:rPr>
        <w:t>机构</w:t>
      </w:r>
      <w:r>
        <w:rPr>
          <w:rFonts w:ascii="Times New Roman" w:hAnsi="Times New Roman" w:eastAsia="仿宋_GB2312"/>
          <w:b w:val="0"/>
          <w:bCs w:val="0"/>
          <w:snapToGrid w:val="0"/>
          <w:color w:val="000000" w:themeColor="text1"/>
          <w:kern w:val="0"/>
          <w:sz w:val="32"/>
          <w:szCs w:val="32"/>
        </w:rPr>
        <w:t>编制</w:t>
      </w:r>
      <w:r>
        <w:rPr>
          <w:rFonts w:hint="eastAsia" w:ascii="Times New Roman" w:hAnsi="Times New Roman" w:eastAsia="仿宋_GB2312"/>
          <w:b w:val="0"/>
          <w:bCs w:val="0"/>
          <w:snapToGrid w:val="0"/>
          <w:color w:val="000000" w:themeColor="text1"/>
          <w:kern w:val="0"/>
          <w:sz w:val="32"/>
          <w:szCs w:val="32"/>
        </w:rPr>
        <w:t>工作主管部门以及</w:t>
      </w:r>
      <w:r>
        <w:rPr>
          <w:rFonts w:ascii="Times New Roman" w:hAnsi="Times New Roman" w:eastAsia="仿宋_GB2312"/>
          <w:b w:val="0"/>
          <w:bCs w:val="0"/>
          <w:snapToGrid w:val="0"/>
          <w:color w:val="000000" w:themeColor="text1"/>
          <w:kern w:val="0"/>
          <w:sz w:val="32"/>
          <w:szCs w:val="32"/>
        </w:rPr>
        <w:t>财政、人力资源和社会保障等部门，制定警务辅助人员用人额度管理办法，报</w:t>
      </w:r>
      <w:r>
        <w:rPr>
          <w:rFonts w:hint="eastAsia" w:ascii="Times New Roman" w:hAnsi="Times New Roman" w:eastAsia="仿宋_GB2312"/>
          <w:b w:val="0"/>
          <w:bCs w:val="0"/>
          <w:snapToGrid w:val="0"/>
          <w:color w:val="000000" w:themeColor="text1"/>
          <w:kern w:val="0"/>
          <w:sz w:val="32"/>
          <w:szCs w:val="32"/>
        </w:rPr>
        <w:t>省</w:t>
      </w:r>
      <w:r>
        <w:rPr>
          <w:rFonts w:ascii="Times New Roman" w:hAnsi="Times New Roman" w:eastAsia="仿宋_GB2312"/>
          <w:b w:val="0"/>
          <w:bCs w:val="0"/>
          <w:snapToGrid w:val="0"/>
          <w:color w:val="000000" w:themeColor="text1"/>
          <w:kern w:val="0"/>
          <w:sz w:val="32"/>
          <w:szCs w:val="32"/>
        </w:rPr>
        <w:t>人民政府批准后实施。</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45" w:firstLineChars="0"/>
        <w:textAlignment w:val="auto"/>
        <w:rPr>
          <w:rFonts w:ascii="Times New Roman" w:hAnsi="Times New Roman" w:eastAsia="仿宋_GB2312"/>
          <w:b w:val="0"/>
          <w:bCs w:val="0"/>
          <w:snapToGrid w:val="0"/>
          <w:color w:val="000000" w:themeColor="text1"/>
          <w:sz w:val="32"/>
          <w:szCs w:val="32"/>
        </w:rPr>
      </w:pPr>
      <w:r>
        <w:rPr>
          <w:rFonts w:ascii="Times New Roman" w:hAnsi="Times New Roman" w:eastAsia="黑体"/>
          <w:b w:val="0"/>
          <w:bCs w:val="0"/>
          <w:color w:val="000000" w:themeColor="text1"/>
          <w:sz w:val="32"/>
          <w:szCs w:val="32"/>
        </w:rPr>
        <w:t>第六条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sz w:val="32"/>
          <w:szCs w:val="32"/>
        </w:rPr>
        <w:t>警务辅助人员招聘由县级以上公安机关</w:t>
      </w:r>
      <w:r>
        <w:rPr>
          <w:rFonts w:hint="eastAsia" w:ascii="Times New Roman" w:hAnsi="Times New Roman" w:eastAsia="仿宋_GB2312"/>
          <w:b w:val="0"/>
          <w:bCs w:val="0"/>
          <w:snapToGrid w:val="0"/>
          <w:color w:val="000000" w:themeColor="text1"/>
          <w:sz w:val="32"/>
          <w:szCs w:val="32"/>
        </w:rPr>
        <w:t>、</w:t>
      </w:r>
      <w:r>
        <w:rPr>
          <w:rFonts w:ascii="Times New Roman" w:hAnsi="Times New Roman" w:eastAsia="仿宋_GB2312"/>
          <w:b w:val="0"/>
          <w:bCs w:val="0"/>
          <w:snapToGrid w:val="0"/>
          <w:color w:val="000000" w:themeColor="text1"/>
          <w:sz w:val="32"/>
          <w:szCs w:val="32"/>
        </w:rPr>
        <w:t>人力资源和社会保障部门组织实施。</w:t>
      </w:r>
      <w:r>
        <w:rPr>
          <w:rFonts w:hint="eastAsia" w:ascii="Times New Roman" w:hAnsi="Times New Roman" w:eastAsia="仿宋_GB2312"/>
          <w:b w:val="0"/>
          <w:bCs w:val="0"/>
          <w:snapToGrid w:val="0"/>
          <w:color w:val="000000" w:themeColor="text1"/>
          <w:sz w:val="32"/>
          <w:szCs w:val="32"/>
        </w:rPr>
        <w:t>招聘方案应当报上一级公安机关、人力资源和社会保障部门备案。</w:t>
      </w:r>
      <w:r>
        <w:rPr>
          <w:rFonts w:ascii="Times New Roman" w:hAnsi="Times New Roman" w:eastAsia="仿宋_GB2312"/>
          <w:b w:val="0"/>
          <w:bCs w:val="0"/>
          <w:snapToGrid w:val="0"/>
          <w:color w:val="000000" w:themeColor="text1"/>
          <w:sz w:val="32"/>
          <w:szCs w:val="32"/>
        </w:rPr>
        <w:t>招聘警务辅助人员应当在核定的警务辅助人员额度内进行。</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45" w:firstLineChars="0"/>
        <w:textAlignment w:val="auto"/>
        <w:rPr>
          <w:rFonts w:ascii="Times New Roman" w:hAnsi="Times New Roman" w:eastAsia="仿宋_GB2312"/>
          <w:b w:val="0"/>
          <w:bCs w:val="0"/>
          <w:snapToGrid w:val="0"/>
          <w:color w:val="000000" w:themeColor="text1"/>
          <w:sz w:val="32"/>
          <w:szCs w:val="32"/>
        </w:rPr>
      </w:pPr>
      <w:r>
        <w:rPr>
          <w:rFonts w:hint="eastAsia" w:ascii="Times New Roman" w:hAnsi="Times New Roman" w:eastAsia="仿宋_GB2312"/>
          <w:b w:val="0"/>
          <w:bCs w:val="0"/>
          <w:color w:val="000000" w:themeColor="text1"/>
          <w:sz w:val="32"/>
          <w:szCs w:val="32"/>
        </w:rPr>
        <w:t>招聘警务辅助人员应当依法建立劳动关系，</w:t>
      </w:r>
      <w:r>
        <w:rPr>
          <w:rFonts w:ascii="Times New Roman" w:hAnsi="Times New Roman" w:eastAsia="仿宋_GB2312"/>
          <w:b w:val="0"/>
          <w:bCs w:val="0"/>
          <w:snapToGrid w:val="0"/>
          <w:color w:val="000000" w:themeColor="text1"/>
          <w:sz w:val="32"/>
          <w:szCs w:val="32"/>
        </w:rPr>
        <w:t>明确薪酬待遇、服务期限、特殊工时制和休息休假、保密义务和竞业限制、社会保险、违约责任等事项。</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645" w:firstLineChars="0"/>
        <w:textAlignment w:val="auto"/>
        <w:rPr>
          <w:rFonts w:ascii="Times New Roman" w:hAnsi="Times New Roman" w:eastAsia="仿宋_GB2312"/>
          <w:b w:val="0"/>
          <w:bCs w:val="0"/>
          <w:snapToGrid w:val="0"/>
          <w:color w:val="000000" w:themeColor="text1"/>
          <w:sz w:val="32"/>
          <w:szCs w:val="32"/>
        </w:rPr>
      </w:pPr>
      <w:r>
        <w:rPr>
          <w:rFonts w:ascii="Times New Roman" w:hAnsi="Times New Roman" w:eastAsia="黑体"/>
          <w:b w:val="0"/>
          <w:bCs w:val="0"/>
          <w:color w:val="000000" w:themeColor="text1"/>
          <w:sz w:val="32"/>
          <w:szCs w:val="32"/>
        </w:rPr>
        <w:t>第七条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sz w:val="32"/>
          <w:szCs w:val="32"/>
        </w:rPr>
        <w:t>招聘警务辅助人员应当遵循公开平等、竞争择优的原则。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snapToGrid w:val="0"/>
          <w:color w:val="000000" w:themeColor="text1"/>
          <w:kern w:val="0"/>
          <w:sz w:val="32"/>
          <w:szCs w:val="32"/>
        </w:rPr>
        <w:t>应聘警务辅助人员应当同时具</w:t>
      </w:r>
      <w:r>
        <w:rPr>
          <w:rFonts w:ascii="Times New Roman" w:hAnsi="Times New Roman" w:eastAsia="仿宋_GB2312"/>
          <w:b w:val="0"/>
          <w:bCs w:val="0"/>
          <w:color w:val="000000" w:themeColor="text1"/>
          <w:sz w:val="32"/>
          <w:szCs w:val="32"/>
        </w:rPr>
        <w:t>备下列基本条件：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color w:val="000000" w:themeColor="text1"/>
          <w:sz w:val="32"/>
          <w:szCs w:val="32"/>
        </w:rPr>
        <w:t>（一）具有中华人民共和国国籍；</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color w:val="000000" w:themeColor="text1"/>
          <w:sz w:val="32"/>
          <w:szCs w:val="32"/>
        </w:rPr>
        <w:t>（二</w:t>
      </w:r>
      <w:r>
        <w:rPr>
          <w:rFonts w:ascii="Times New Roman" w:hAnsi="Times New Roman" w:eastAsia="仿宋_GB2312"/>
          <w:b w:val="0"/>
          <w:bCs w:val="0"/>
          <w:snapToGrid w:val="0"/>
          <w:color w:val="000000" w:themeColor="text1"/>
          <w:kern w:val="0"/>
          <w:sz w:val="32"/>
          <w:szCs w:val="32"/>
        </w:rPr>
        <w:t>）拥护中国共产党领导，拥护中华人民共和国宪法，遵守法律、法规，品行端正；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（三）年满十八周岁；</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（四）具有符合岗位要求的文化程度、工作能力和专业技能，勤务辅助人员应当具备高中以上文化程度，文职辅助人员应当具备大专以上文化程度；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（五）具有正常履行职责所需的身体条件和心理素质。</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hint="eastAsia" w:ascii="Times New Roman" w:hAnsi="Times New Roman" w:eastAsia="仿宋_GB2312"/>
          <w:b w:val="0"/>
          <w:bCs w:val="0"/>
          <w:snapToGrid w:val="0"/>
          <w:color w:val="000000" w:themeColor="text1"/>
          <w:kern w:val="0"/>
          <w:sz w:val="32"/>
          <w:szCs w:val="32"/>
        </w:rPr>
        <w:t>在同等条件下，根据国家和省的规定，优先招聘烈士的配偶和子女、因公牺牲人民警察的配偶和子女、退役军人、见义勇为人员等。</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w:t>
      </w:r>
      <w:r>
        <w:rPr>
          <w:rFonts w:hint="eastAsia" w:ascii="Times New Roman" w:hAnsi="Times New Roman" w:eastAsia="黑体"/>
          <w:b w:val="0"/>
          <w:bCs w:val="0"/>
          <w:color w:val="000000" w:themeColor="text1"/>
          <w:sz w:val="32"/>
          <w:szCs w:val="32"/>
        </w:rPr>
        <w:t>八</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有下列情形</w:t>
      </w:r>
      <w:r>
        <w:rPr>
          <w:rFonts w:ascii="Times New Roman" w:hAnsi="Times New Roman" w:eastAsia="仿宋_GB2312"/>
          <w:b w:val="0"/>
          <w:bCs w:val="0"/>
          <w:snapToGrid w:val="0"/>
          <w:color w:val="000000" w:themeColor="text1"/>
          <w:kern w:val="0"/>
          <w:sz w:val="32"/>
          <w:szCs w:val="32"/>
        </w:rPr>
        <w:t>之一的，不得招聘为警务辅助人员：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（一）被依法追究刑事责任或者涉嫌犯罪尚未查清的;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（二）曾被行政拘留或者有吸毒史的；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（三）参加非法组织、邪教组织或者从事其他危害国家安全活动的；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（四）因违法违纪被开除、辞退或者解聘的；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（五）被依法列为失信联合惩戒对象的；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snapToGrid w:val="0"/>
          <w:color w:val="000000" w:themeColor="text1"/>
          <w:kern w:val="0"/>
          <w:sz w:val="32"/>
          <w:szCs w:val="32"/>
        </w:rPr>
        <w:t>（六）依照国家规定不适宜从事警务辅助人员工作</w:t>
      </w:r>
      <w:r>
        <w:rPr>
          <w:rFonts w:ascii="Times New Roman" w:hAnsi="Times New Roman" w:eastAsia="仿宋_GB2312"/>
          <w:b w:val="0"/>
          <w:bCs w:val="0"/>
          <w:color w:val="000000" w:themeColor="text1"/>
          <w:sz w:val="32"/>
          <w:szCs w:val="32"/>
        </w:rPr>
        <w:t>的其他情形。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w:t>
      </w:r>
      <w:r>
        <w:rPr>
          <w:rFonts w:hint="eastAsia" w:ascii="Times New Roman" w:hAnsi="Times New Roman" w:eastAsia="黑体"/>
          <w:b w:val="0"/>
          <w:bCs w:val="0"/>
          <w:color w:val="000000" w:themeColor="text1"/>
          <w:sz w:val="32"/>
          <w:szCs w:val="32"/>
        </w:rPr>
        <w:t>九</w:t>
      </w:r>
      <w:r>
        <w:rPr>
          <w:rFonts w:ascii="Times New Roman" w:hAnsi="Times New Roman" w:eastAsia="黑体"/>
          <w:b w:val="0"/>
          <w:bCs w:val="0"/>
          <w:color w:val="000000" w:themeColor="text1"/>
          <w:sz w:val="32"/>
          <w:szCs w:val="32"/>
        </w:rPr>
        <w:t>条</w:t>
      </w:r>
      <w:r>
        <w:rPr>
          <w:rFonts w:ascii="Times New Roman"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招聘警务辅助人员按照发布公告、自愿报名、资格审查、笔试、面试和体能测</w:t>
      </w:r>
      <w:r>
        <w:rPr>
          <w:rFonts w:ascii="Times New Roman" w:hAnsi="Times New Roman" w:eastAsia="仿宋_GB2312"/>
          <w:b w:val="0"/>
          <w:bCs w:val="0"/>
          <w:snapToGrid w:val="0"/>
          <w:color w:val="000000" w:themeColor="text1"/>
          <w:spacing w:val="-6"/>
          <w:kern w:val="0"/>
          <w:sz w:val="32"/>
          <w:szCs w:val="32"/>
        </w:rPr>
        <w:t>评、体检、考察、公示、依法</w:t>
      </w:r>
      <w:r>
        <w:rPr>
          <w:rFonts w:hint="eastAsia" w:ascii="Times New Roman" w:hAnsi="Times New Roman" w:eastAsia="仿宋_GB2312"/>
          <w:b w:val="0"/>
          <w:bCs w:val="0"/>
          <w:snapToGrid w:val="0"/>
          <w:color w:val="000000" w:themeColor="text1"/>
          <w:spacing w:val="-6"/>
          <w:kern w:val="0"/>
          <w:sz w:val="32"/>
          <w:szCs w:val="32"/>
        </w:rPr>
        <w:t>建立劳动关系</w:t>
      </w:r>
      <w:r>
        <w:rPr>
          <w:rFonts w:ascii="Times New Roman" w:hAnsi="Times New Roman" w:eastAsia="仿宋_GB2312"/>
          <w:b w:val="0"/>
          <w:bCs w:val="0"/>
          <w:snapToGrid w:val="0"/>
          <w:color w:val="000000" w:themeColor="text1"/>
          <w:spacing w:val="-6"/>
          <w:kern w:val="0"/>
          <w:sz w:val="32"/>
          <w:szCs w:val="32"/>
        </w:rPr>
        <w:t>等程序进行。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招聘公告应当载明招聘的职位、人数、报名条件、薪酬待遇、需要提交的申请材料等内容。</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勤务辅助人员协助公安机关执法岗位人民警察开展执法执勤和其他勤务活动；文职辅助人员协助公安机关非执法岗位人民警察从事行政管理、技术支持、警务保障等工作。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警务辅助人员不得从事下列工作：国内安全保卫、技术侦</w:t>
      </w:r>
      <w:r>
        <w:rPr>
          <w:rFonts w:hint="eastAsia" w:ascii="Times New Roman" w:hAnsi="Times New Roman" w:eastAsia="仿宋_GB2312"/>
          <w:b w:val="0"/>
          <w:bCs w:val="0"/>
          <w:snapToGrid w:val="0"/>
          <w:color w:val="000000" w:themeColor="text1"/>
          <w:kern w:val="0"/>
          <w:sz w:val="32"/>
          <w:szCs w:val="32"/>
        </w:rPr>
        <w:t>察</w:t>
      </w:r>
      <w:r>
        <w:rPr>
          <w:rFonts w:ascii="Times New Roman" w:hAnsi="Times New Roman" w:eastAsia="仿宋_GB2312"/>
          <w:b w:val="0"/>
          <w:bCs w:val="0"/>
          <w:snapToGrid w:val="0"/>
          <w:color w:val="000000" w:themeColor="text1"/>
          <w:kern w:val="0"/>
          <w:sz w:val="32"/>
          <w:szCs w:val="32"/>
        </w:rPr>
        <w:t>、反邪教、反恐怖等工作；办理</w:t>
      </w:r>
      <w:r>
        <w:rPr>
          <w:rFonts w:hint="eastAsia" w:ascii="Times New Roman" w:hAnsi="Times New Roman" w:eastAsia="仿宋_GB2312"/>
          <w:b w:val="0"/>
          <w:bCs w:val="0"/>
          <w:snapToGrid w:val="0"/>
          <w:color w:val="000000" w:themeColor="text1"/>
          <w:kern w:val="0"/>
          <w:sz w:val="32"/>
          <w:szCs w:val="32"/>
        </w:rPr>
        <w:t>未经批准的</w:t>
      </w:r>
      <w:r>
        <w:rPr>
          <w:rFonts w:ascii="Times New Roman" w:hAnsi="Times New Roman" w:eastAsia="仿宋_GB2312"/>
          <w:b w:val="0"/>
          <w:bCs w:val="0"/>
          <w:snapToGrid w:val="0"/>
          <w:color w:val="000000" w:themeColor="text1"/>
          <w:kern w:val="0"/>
          <w:sz w:val="32"/>
          <w:szCs w:val="32"/>
        </w:rPr>
        <w:t>涉及国家秘密的事项；案件调查取证、出具鉴定报告、交通事故责任认定；执行刑事强制措施；作出行政处罚</w:t>
      </w:r>
      <w:r>
        <w:rPr>
          <w:rFonts w:hint="eastAsia" w:ascii="Times New Roman" w:hAnsi="Times New Roman" w:eastAsia="仿宋_GB2312"/>
          <w:b w:val="0"/>
          <w:bCs w:val="0"/>
          <w:snapToGrid w:val="0"/>
          <w:color w:val="000000" w:themeColor="text1"/>
          <w:kern w:val="0"/>
          <w:sz w:val="32"/>
          <w:szCs w:val="32"/>
        </w:rPr>
        <w:t>、行政强制、行政许可等处理</w:t>
      </w:r>
      <w:r>
        <w:rPr>
          <w:rFonts w:ascii="Times New Roman" w:hAnsi="Times New Roman" w:eastAsia="仿宋_GB2312"/>
          <w:b w:val="0"/>
          <w:bCs w:val="0"/>
          <w:snapToGrid w:val="0"/>
          <w:color w:val="000000" w:themeColor="text1"/>
          <w:kern w:val="0"/>
          <w:sz w:val="32"/>
          <w:szCs w:val="32"/>
        </w:rPr>
        <w:t>决定；审核案件；保管武器、警械；法律</w:t>
      </w:r>
      <w:r>
        <w:rPr>
          <w:rFonts w:hint="eastAsia" w:ascii="Times New Roman" w:hAnsi="Times New Roman" w:eastAsia="仿宋_GB2312"/>
          <w:b w:val="0"/>
          <w:bCs w:val="0"/>
          <w:snapToGrid w:val="0"/>
          <w:color w:val="000000" w:themeColor="text1"/>
          <w:kern w:val="0"/>
          <w:sz w:val="32"/>
          <w:szCs w:val="32"/>
        </w:rPr>
        <w:t>、</w:t>
      </w:r>
      <w:r>
        <w:rPr>
          <w:rFonts w:ascii="Times New Roman" w:hAnsi="Times New Roman" w:eastAsia="仿宋_GB2312"/>
          <w:b w:val="0"/>
          <w:bCs w:val="0"/>
          <w:snapToGrid w:val="0"/>
          <w:color w:val="000000" w:themeColor="text1"/>
          <w:kern w:val="0"/>
          <w:sz w:val="32"/>
          <w:szCs w:val="32"/>
        </w:rPr>
        <w:t>法规规定必须由公安机关人民警察从事的工作。</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第三章 权利和义务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一</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警务辅助人员享有下列权利：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（一）获得履行职责必需的工作条件；</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（二）依法获得工作报酬，享受福利和社会保险待遇；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（三）参加岗位所需业务知识、技能的培训；</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（四）对所在单位的工作提出意见和建议；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（五）依法提出申诉和控告；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（六）依法解除劳动</w:t>
      </w:r>
      <w:r>
        <w:rPr>
          <w:rFonts w:hint="eastAsia" w:ascii="Times New Roman" w:hAnsi="Times New Roman" w:eastAsia="仿宋_GB2312"/>
          <w:b w:val="0"/>
          <w:bCs w:val="0"/>
          <w:snapToGrid w:val="0"/>
          <w:color w:val="000000" w:themeColor="text1"/>
          <w:kern w:val="0"/>
          <w:sz w:val="32"/>
          <w:szCs w:val="32"/>
        </w:rPr>
        <w:t>关系</w:t>
      </w:r>
      <w:r>
        <w:rPr>
          <w:rFonts w:ascii="Times New Roman" w:hAnsi="Times New Roman" w:eastAsia="仿宋_GB2312"/>
          <w:b w:val="0"/>
          <w:bCs w:val="0"/>
          <w:snapToGrid w:val="0"/>
          <w:color w:val="000000" w:themeColor="text1"/>
          <w:kern w:val="0"/>
          <w:sz w:val="32"/>
          <w:szCs w:val="32"/>
        </w:rPr>
        <w:t>；</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snapToGrid w:val="0"/>
          <w:color w:val="000000" w:themeColor="text1"/>
          <w:kern w:val="0"/>
          <w:sz w:val="32"/>
          <w:szCs w:val="32"/>
        </w:rPr>
        <w:t>（七）</w:t>
      </w:r>
      <w:r>
        <w:rPr>
          <w:rFonts w:ascii="Times New Roman" w:hAnsi="Times New Roman" w:eastAsia="仿宋_GB2312"/>
          <w:b w:val="0"/>
          <w:bCs w:val="0"/>
          <w:snapToGrid w:val="0"/>
          <w:color w:val="000000" w:themeColor="text1"/>
          <w:spacing w:val="-6"/>
          <w:kern w:val="0"/>
          <w:sz w:val="32"/>
          <w:szCs w:val="32"/>
        </w:rPr>
        <w:t>法律、法规规定和合</w:t>
      </w:r>
      <w:r>
        <w:rPr>
          <w:rFonts w:ascii="Times New Roman" w:hAnsi="Times New Roman" w:eastAsia="仿宋_GB2312"/>
          <w:b w:val="0"/>
          <w:bCs w:val="0"/>
          <w:color w:val="000000" w:themeColor="text1"/>
          <w:spacing w:val="-6"/>
          <w:sz w:val="32"/>
          <w:szCs w:val="32"/>
        </w:rPr>
        <w:t>同约定的其他权利。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二</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人民政府人力资源和社会保障部门应当会同公安机关、财政部门根据本地经济社会发展情况、财政状况等因素，建立符合警务辅助人员特点、体现岗位绩效和分级分类管理的薪酬和福利制度，并实行动态调整。</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三</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警务辅助人员享有基本养老、医疗、失业、生育、工伤等社会保险和住房公积金等社会保障待遇。</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县级以上公安机关应当为直接协助参与执法执勤以及高危险岗位的警务辅助人员购买人身意外伤害保险。</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四</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县级以上公安机关应当定期组织警务辅助人员参加健康检查，建立警务辅助人员健康档案。</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警务辅助人员因工受伤、死亡的，依照《工伤保险条例》等有关规定享受相关待遇；被依法评定为烈士的，其遗属依照《烈士褒扬条例》等规定享受抚恤优待。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五</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警务辅助人员应当履行下列义务：</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（一）遵守法律、法规;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（二）服从公安机关管理和指挥；</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（三）忠于职守，文明履职；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（四）廉洁奉公，不徇私情；</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（五）保守国家秘密和警务工作秘密；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w:t>
      </w:r>
      <w:r>
        <w:rPr>
          <w:rFonts w:ascii="Times New Roman" w:hAnsi="Times New Roman" w:eastAsia="仿宋_GB2312"/>
          <w:b w:val="0"/>
          <w:bCs w:val="0"/>
          <w:snapToGrid w:val="0"/>
          <w:color w:val="000000" w:themeColor="text1"/>
          <w:spacing w:val="-6"/>
          <w:kern w:val="0"/>
          <w:sz w:val="32"/>
          <w:szCs w:val="32"/>
        </w:rPr>
        <w:t>六）法律、法规规定和合同约定的其他义务。</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723"/>
        <w:textAlignment w:val="auto"/>
        <w:rPr>
          <w:rFonts w:ascii="Times New Roman" w:hAnsi="Times New Roman"/>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第四章  管理和监督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六</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县级以上公安机关应当根据警务辅助人员特点，建立健全警务辅助人员管理制度，明确专门机构和人员负责警务辅助人员的管理和监督。</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七</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警务辅助人员实行分级管理制度，具体层级设置、评定程序和条件依照国家有关规定执行。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第十</w:t>
      </w:r>
      <w:r>
        <w:rPr>
          <w:rFonts w:hint="eastAsia" w:ascii="Times New Roman" w:hAnsi="Times New Roman" w:eastAsia="黑体"/>
          <w:b w:val="0"/>
          <w:bCs w:val="0"/>
          <w:color w:val="000000" w:themeColor="text1"/>
          <w:sz w:val="32"/>
          <w:szCs w:val="32"/>
        </w:rPr>
        <w:t>八</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县级以上公安机关应当建立健全警务辅助人员培训制度，加强岗前培训和年度定期培训，加强忠诚教育和职业道德教育，强化法律知识、业务技能、纪律作风训练，提高警务辅助人员的职业素养和专业水平。</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w:t>
      </w:r>
      <w:r>
        <w:rPr>
          <w:rFonts w:hint="eastAsia" w:ascii="Times New Roman" w:hAnsi="Times New Roman" w:eastAsia="黑体"/>
          <w:b w:val="0"/>
          <w:bCs w:val="0"/>
          <w:color w:val="000000" w:themeColor="text1"/>
          <w:sz w:val="32"/>
          <w:szCs w:val="32"/>
        </w:rPr>
        <w:t>十九</w:t>
      </w:r>
      <w:r>
        <w:rPr>
          <w:rFonts w:ascii="Times New Roman" w:hAnsi="Times New Roman" w:eastAsia="黑体"/>
          <w:b w:val="0"/>
          <w:bCs w:val="0"/>
          <w:color w:val="000000" w:themeColor="text1"/>
          <w:sz w:val="32"/>
          <w:szCs w:val="32"/>
        </w:rPr>
        <w:t>条</w:t>
      </w:r>
      <w:r>
        <w:rPr>
          <w:rFonts w:ascii="Times New Roman"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县级以上公安机关应当对警务辅助人员的工作绩效、遵纪守法等情况进行考核，考核结果作为层级升降、薪酬待遇、延续或者解除劳动关系的主要依据。</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第二十条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对有突出贡献的警务辅助人员，按照国家和省有关规定给予奖励；警务辅助人员违反公安机关纪律要求或者规章制度的，给予相应处理。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县级以上公安机关</w:t>
      </w:r>
      <w:r>
        <w:rPr>
          <w:rFonts w:hint="eastAsia" w:ascii="Times New Roman" w:hAnsi="Times New Roman" w:eastAsia="仿宋_GB2312"/>
          <w:b w:val="0"/>
          <w:bCs w:val="0"/>
          <w:snapToGrid w:val="0"/>
          <w:color w:val="000000" w:themeColor="text1"/>
          <w:kern w:val="0"/>
          <w:sz w:val="32"/>
          <w:szCs w:val="32"/>
        </w:rPr>
        <w:t>招录人民警察，在同等条件下优先录用</w:t>
      </w:r>
      <w:r>
        <w:rPr>
          <w:rFonts w:ascii="Times New Roman" w:hAnsi="Times New Roman" w:eastAsia="仿宋_GB2312"/>
          <w:b w:val="0"/>
          <w:bCs w:val="0"/>
          <w:snapToGrid w:val="0"/>
          <w:color w:val="000000" w:themeColor="text1"/>
          <w:kern w:val="0"/>
          <w:sz w:val="32"/>
          <w:szCs w:val="32"/>
        </w:rPr>
        <w:t>优秀警务辅助人员。</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一</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警务辅助人员履行职责时，应当按照规定持工作证件，着制式服装，佩戴标识。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警务辅助人员的工作证件，由省</w:t>
      </w:r>
      <w:r>
        <w:rPr>
          <w:rFonts w:hint="eastAsia" w:ascii="Times New Roman" w:hAnsi="Times New Roman" w:eastAsia="仿宋_GB2312"/>
          <w:b w:val="0"/>
          <w:bCs w:val="0"/>
          <w:snapToGrid w:val="0"/>
          <w:color w:val="000000" w:themeColor="text1"/>
          <w:kern w:val="0"/>
          <w:sz w:val="32"/>
          <w:szCs w:val="32"/>
        </w:rPr>
        <w:t>级</w:t>
      </w:r>
      <w:r>
        <w:rPr>
          <w:rFonts w:ascii="Times New Roman" w:hAnsi="Times New Roman" w:eastAsia="仿宋_GB2312"/>
          <w:b w:val="0"/>
          <w:bCs w:val="0"/>
          <w:snapToGrid w:val="0"/>
          <w:color w:val="000000" w:themeColor="text1"/>
          <w:kern w:val="0"/>
          <w:sz w:val="32"/>
          <w:szCs w:val="32"/>
        </w:rPr>
        <w:t>公安</w:t>
      </w:r>
      <w:r>
        <w:rPr>
          <w:rFonts w:hint="eastAsia" w:ascii="Times New Roman" w:hAnsi="Times New Roman" w:eastAsia="仿宋_GB2312"/>
          <w:b w:val="0"/>
          <w:bCs w:val="0"/>
          <w:snapToGrid w:val="0"/>
          <w:color w:val="000000" w:themeColor="text1"/>
          <w:kern w:val="0"/>
          <w:sz w:val="32"/>
          <w:szCs w:val="32"/>
        </w:rPr>
        <w:t>机关</w:t>
      </w:r>
      <w:r>
        <w:rPr>
          <w:rFonts w:ascii="Times New Roman" w:hAnsi="Times New Roman" w:eastAsia="仿宋_GB2312"/>
          <w:b w:val="0"/>
          <w:bCs w:val="0"/>
          <w:snapToGrid w:val="0"/>
          <w:color w:val="000000" w:themeColor="text1"/>
          <w:kern w:val="0"/>
          <w:sz w:val="32"/>
          <w:szCs w:val="32"/>
        </w:rPr>
        <w:t>统一组织制发和管理。警务辅助人员的制式服装和标识，由省</w:t>
      </w:r>
      <w:r>
        <w:rPr>
          <w:rFonts w:hint="eastAsia" w:ascii="Times New Roman" w:hAnsi="Times New Roman" w:eastAsia="仿宋_GB2312"/>
          <w:b w:val="0"/>
          <w:bCs w:val="0"/>
          <w:snapToGrid w:val="0"/>
          <w:color w:val="000000" w:themeColor="text1"/>
          <w:kern w:val="0"/>
          <w:sz w:val="32"/>
          <w:szCs w:val="32"/>
        </w:rPr>
        <w:t>级</w:t>
      </w:r>
      <w:r>
        <w:rPr>
          <w:rFonts w:ascii="Times New Roman" w:hAnsi="Times New Roman" w:eastAsia="仿宋_GB2312"/>
          <w:b w:val="0"/>
          <w:bCs w:val="0"/>
          <w:snapToGrid w:val="0"/>
          <w:color w:val="000000" w:themeColor="text1"/>
          <w:kern w:val="0"/>
          <w:sz w:val="32"/>
          <w:szCs w:val="32"/>
        </w:rPr>
        <w:t>公安</w:t>
      </w:r>
      <w:r>
        <w:rPr>
          <w:rFonts w:hint="eastAsia" w:ascii="Times New Roman" w:hAnsi="Times New Roman" w:eastAsia="仿宋_GB2312"/>
          <w:b w:val="0"/>
          <w:bCs w:val="0"/>
          <w:snapToGrid w:val="0"/>
          <w:color w:val="000000" w:themeColor="text1"/>
          <w:kern w:val="0"/>
          <w:sz w:val="32"/>
          <w:szCs w:val="32"/>
        </w:rPr>
        <w:t>机关</w:t>
      </w:r>
      <w:r>
        <w:rPr>
          <w:rFonts w:ascii="Times New Roman" w:hAnsi="Times New Roman" w:eastAsia="仿宋_GB2312"/>
          <w:b w:val="0"/>
          <w:bCs w:val="0"/>
          <w:snapToGrid w:val="0"/>
          <w:color w:val="000000" w:themeColor="text1"/>
          <w:kern w:val="0"/>
          <w:sz w:val="32"/>
          <w:szCs w:val="32"/>
        </w:rPr>
        <w:t>按照国家规定的样式统一监制，并会同其他有关部门进行管理。任何组织和个人不得非法制造、贩卖、使用警务辅助人员制式服装和标识。</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二</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警务辅助人员在协助开展执法执勤时，可以配备必要的执勤及安全防护装备，不得配备武器；根据工作安排，可以驾驶与驾驶证准驾车型相符的警用汽车和警用摩托车。</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三</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在协助开展执法执勤时，警务辅助人员遇有可能影响其公正履行职责的情形需要回避的，应当回避。当事人或者其法定代理人有权提出回避申请。</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警务辅助人员的回避，由所在的公安机关部门负责人或者公安派出所负责人决定。</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四</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警务辅助人员履行职责接受社会监督。对警务辅助人员的违法违纪行为，任何单位和个人有权向公安机关</w:t>
      </w:r>
      <w:r>
        <w:rPr>
          <w:rFonts w:hint="eastAsia" w:ascii="Times New Roman" w:hAnsi="Times New Roman" w:eastAsia="仿宋_GB2312"/>
          <w:b w:val="0"/>
          <w:bCs w:val="0"/>
          <w:snapToGrid w:val="0"/>
          <w:color w:val="000000" w:themeColor="text1"/>
          <w:kern w:val="0"/>
          <w:sz w:val="32"/>
          <w:szCs w:val="32"/>
        </w:rPr>
        <w:t>或者</w:t>
      </w:r>
      <w:r>
        <w:rPr>
          <w:rFonts w:ascii="Times New Roman" w:hAnsi="Times New Roman" w:eastAsia="仿宋_GB2312"/>
          <w:b w:val="0"/>
          <w:bCs w:val="0"/>
          <w:snapToGrid w:val="0"/>
          <w:color w:val="000000" w:themeColor="text1"/>
          <w:kern w:val="0"/>
          <w:sz w:val="32"/>
          <w:szCs w:val="32"/>
        </w:rPr>
        <w:t>其他有关部门检举、控告。</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color w:val="000000" w:themeColor="text1"/>
          <w:sz w:val="32"/>
          <w:szCs w:val="32"/>
        </w:rPr>
        <w:t>受理检举、控告</w:t>
      </w:r>
      <w:r>
        <w:rPr>
          <w:rFonts w:ascii="Times New Roman" w:hAnsi="Times New Roman" w:eastAsia="仿宋_GB2312"/>
          <w:b w:val="0"/>
          <w:bCs w:val="0"/>
          <w:snapToGrid w:val="0"/>
          <w:color w:val="000000" w:themeColor="text1"/>
          <w:kern w:val="0"/>
          <w:sz w:val="32"/>
          <w:szCs w:val="32"/>
        </w:rPr>
        <w:t>的部门应当及时调查处理，并将调查处理结果告知检举人、控告人。</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五</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snapToGrid w:val="0"/>
          <w:color w:val="000000" w:themeColor="text1"/>
          <w:kern w:val="0"/>
          <w:sz w:val="32"/>
          <w:szCs w:val="32"/>
        </w:rPr>
        <w:t>警务辅助人员有下列情形之一的，应当依法解除劳动关系：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（一）试用期考核不合格的；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color w:val="000000" w:themeColor="text1"/>
          <w:sz w:val="32"/>
          <w:szCs w:val="32"/>
        </w:rPr>
        <w:t>（二）不能胜任工作，</w:t>
      </w:r>
      <w:r>
        <w:rPr>
          <w:rFonts w:ascii="Times New Roman" w:hAnsi="Times New Roman" w:eastAsia="仿宋_GB2312"/>
          <w:b w:val="0"/>
          <w:bCs w:val="0"/>
          <w:snapToGrid w:val="0"/>
          <w:color w:val="000000" w:themeColor="text1"/>
          <w:kern w:val="0"/>
          <w:sz w:val="32"/>
          <w:szCs w:val="32"/>
        </w:rPr>
        <w:t>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（三）严重违反警务辅助人员管理规章制度的；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（四）严重失职造成重大损害或者不良影响的；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（五）被依法追究刑事责任的；</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snapToGrid w:val="0"/>
          <w:color w:val="000000" w:themeColor="text1"/>
          <w:kern w:val="0"/>
          <w:sz w:val="32"/>
          <w:szCs w:val="32"/>
        </w:rPr>
      </w:pPr>
      <w:r>
        <w:rPr>
          <w:rFonts w:ascii="Times New Roman" w:hAnsi="Times New Roman" w:eastAsia="仿宋_GB2312"/>
          <w:b w:val="0"/>
          <w:bCs w:val="0"/>
          <w:snapToGrid w:val="0"/>
          <w:color w:val="000000" w:themeColor="text1"/>
          <w:kern w:val="0"/>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仿宋_GB2312"/>
          <w:b w:val="0"/>
          <w:bCs w:val="0"/>
          <w:snapToGrid w:val="0"/>
          <w:color w:val="000000" w:themeColor="text1"/>
          <w:kern w:val="0"/>
          <w:sz w:val="32"/>
          <w:szCs w:val="32"/>
        </w:rPr>
        <w:t xml:space="preserve"> 警务辅助人员离职时，县级以上公安机关应当收回所配发的工作证件、服装、标</w:t>
      </w:r>
      <w:r>
        <w:rPr>
          <w:rFonts w:ascii="Times New Roman" w:hAnsi="Times New Roman" w:eastAsia="仿宋_GB2312"/>
          <w:b w:val="0"/>
          <w:bCs w:val="0"/>
          <w:color w:val="000000" w:themeColor="text1"/>
          <w:sz w:val="32"/>
          <w:szCs w:val="32"/>
        </w:rPr>
        <w:t>识以及装备。</w:t>
      </w:r>
    </w:p>
    <w:p>
      <w:pPr>
        <w:pStyle w:val="2"/>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textAlignment w:val="auto"/>
        <w:rPr>
          <w:rFonts w:ascii="Times New Roman" w:hAnsi="Times New Roman" w:eastAsia="黑体"/>
          <w:b w:val="0"/>
          <w:bCs w:val="0"/>
          <w:color w:val="000000" w:themeColor="text1"/>
          <w:sz w:val="32"/>
          <w:szCs w:val="32"/>
        </w:rPr>
      </w:pPr>
      <w:bookmarkStart w:id="0" w:name="_Hlk35877179"/>
    </w:p>
    <w:p>
      <w:pPr>
        <w:pStyle w:val="2"/>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六</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违反本条例规定，有关国家机关及其工作人员在警务辅助人员招聘、使用、管理和监督等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pacing w:val="-4"/>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七</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pacing w:val="-4"/>
          <w:sz w:val="32"/>
          <w:szCs w:val="32"/>
        </w:rPr>
        <w:t>警务辅助人员履行职责行为后果由所在公安机关承担</w:t>
      </w:r>
      <w:r>
        <w:rPr>
          <w:rFonts w:hint="eastAsia" w:ascii="Times New Roman" w:hAnsi="Times New Roman" w:eastAsia="仿宋_GB2312"/>
          <w:b w:val="0"/>
          <w:bCs w:val="0"/>
          <w:color w:val="000000" w:themeColor="text1"/>
          <w:spacing w:val="-4"/>
          <w:sz w:val="32"/>
          <w:szCs w:val="32"/>
        </w:rPr>
        <w:t>；对公民、法人或者其他组织合法权益造成损害的，由所在公安机关依法承担赔偿责任。</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723"/>
        <w:textAlignment w:val="auto"/>
        <w:rPr>
          <w:rFonts w:ascii="仿宋_GB2312"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第二十</w:t>
      </w:r>
      <w:r>
        <w:rPr>
          <w:rFonts w:hint="eastAsia" w:ascii="Times New Roman" w:hAnsi="Times New Roman" w:eastAsia="黑体"/>
          <w:b w:val="0"/>
          <w:bCs w:val="0"/>
          <w:color w:val="000000" w:themeColor="text1"/>
          <w:sz w:val="32"/>
          <w:szCs w:val="32"/>
        </w:rPr>
        <w:t>八</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hint="eastAsia" w:ascii="仿宋_GB2312" w:hAnsi="Times New Roman" w:eastAsia="仿宋_GB2312"/>
          <w:b w:val="0"/>
          <w:bCs w:val="0"/>
          <w:color w:val="000000" w:themeColor="text1"/>
          <w:sz w:val="32"/>
          <w:szCs w:val="32"/>
        </w:rPr>
        <w:t>警务辅助人员违反本条例规定的，由公安机关按照警务辅助人员管理相关规定依法处理；构成违反治安管理行为的，由公安机关依法给予治安管理处罚；构成犯罪的，依法追究刑事责任。</w:t>
      </w:r>
    </w:p>
    <w:p>
      <w:pPr>
        <w:pStyle w:val="6"/>
        <w:keepNext w:val="0"/>
        <w:keepLines w:val="0"/>
        <w:pageBreakBefore w:val="0"/>
        <w:widowControl w:val="0"/>
        <w:kinsoku/>
        <w:wordWrap/>
        <w:overflowPunct/>
        <w:topLinePunct w:val="0"/>
        <w:autoSpaceDE/>
        <w:autoSpaceDN/>
        <w:bidi w:val="0"/>
        <w:adjustRightInd/>
        <w:snapToGrid/>
        <w:spacing w:after="0" w:line="570" w:lineRule="exact"/>
        <w:ind w:left="0" w:leftChars="0" w:right="0" w:rightChars="0" w:firstLine="723"/>
        <w:textAlignment w:val="auto"/>
        <w:rPr>
          <w:b w:val="0"/>
          <w:bCs w:val="0"/>
          <w:color w:val="000000" w:themeColor="text1"/>
          <w:sz w:val="32"/>
          <w:szCs w:val="32"/>
        </w:rPr>
      </w:pPr>
      <w:r>
        <w:rPr>
          <w:rFonts w:hint="eastAsia" w:ascii="Times New Roman" w:hAnsi="Times New Roman" w:eastAsia="黑体"/>
          <w:b w:val="0"/>
          <w:bCs w:val="0"/>
          <w:color w:val="000000" w:themeColor="text1"/>
          <w:sz w:val="32"/>
          <w:szCs w:val="32"/>
        </w:rPr>
        <w:t>第二十九条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非法制造、贩卖警务辅助人员制式服装、标识的，由公安机关予以没收，处违法所得二倍以上五倍以下罚款；非法使用警务辅助人员制式服装、标识的，由公安机关予以没收，并处一千元以上</w:t>
      </w:r>
      <w:r>
        <w:rPr>
          <w:rFonts w:hint="eastAsia" w:ascii="Times New Roman" w:hAnsi="Times New Roman" w:eastAsia="仿宋_GB2312"/>
          <w:b w:val="0"/>
          <w:bCs w:val="0"/>
          <w:color w:val="000000" w:themeColor="text1"/>
          <w:sz w:val="32"/>
          <w:szCs w:val="32"/>
        </w:rPr>
        <w:t>五千</w:t>
      </w:r>
      <w:r>
        <w:rPr>
          <w:rFonts w:ascii="Times New Roman" w:hAnsi="Times New Roman" w:eastAsia="仿宋_GB2312"/>
          <w:b w:val="0"/>
          <w:bCs w:val="0"/>
          <w:color w:val="000000" w:themeColor="text1"/>
          <w:sz w:val="32"/>
          <w:szCs w:val="32"/>
        </w:rPr>
        <w:t>元以下罚款。</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第六章  附则</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黑体"/>
          <w:b w:val="0"/>
          <w:bCs w:val="0"/>
          <w:color w:val="000000" w:themeColor="text1"/>
          <w:sz w:val="32"/>
          <w:szCs w:val="32"/>
        </w:rPr>
      </w:pPr>
      <w:r>
        <w:rPr>
          <w:rFonts w:ascii="Times New Roman" w:hAnsi="Times New Roman" w:eastAsia="黑体"/>
          <w:b w:val="0"/>
          <w:bCs w:val="0"/>
          <w:color w:val="000000" w:themeColor="text1"/>
          <w:sz w:val="32"/>
          <w:szCs w:val="32"/>
        </w:rPr>
        <w:t>第三十条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人民法院、人民检察院和司法行政机关警务辅助人员的</w:t>
      </w:r>
      <w:r>
        <w:rPr>
          <w:rFonts w:hint="eastAsia" w:ascii="Times New Roman" w:hAnsi="Times New Roman" w:eastAsia="仿宋_GB2312"/>
          <w:b w:val="0"/>
          <w:bCs w:val="0"/>
          <w:color w:val="000000" w:themeColor="text1"/>
          <w:sz w:val="32"/>
          <w:szCs w:val="32"/>
        </w:rPr>
        <w:t>监督</w:t>
      </w:r>
      <w:r>
        <w:rPr>
          <w:rFonts w:ascii="Times New Roman" w:hAnsi="Times New Roman" w:eastAsia="仿宋_GB2312"/>
          <w:b w:val="0"/>
          <w:bCs w:val="0"/>
          <w:color w:val="000000" w:themeColor="text1"/>
          <w:sz w:val="32"/>
          <w:szCs w:val="32"/>
        </w:rPr>
        <w:t>管理，参照本条例执行。</w: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32" w:firstLineChars="200"/>
        <w:textAlignment w:val="auto"/>
        <w:rPr>
          <w:rFonts w:ascii="Times New Roman" w:hAnsi="Times New Roman" w:eastAsia="仿宋_GB2312"/>
          <w:b w:val="0"/>
          <w:bCs w:val="0"/>
          <w:color w:val="000000" w:themeColor="text1"/>
          <w:sz w:val="32"/>
          <w:szCs w:val="32"/>
        </w:rPr>
      </w:pPr>
      <w:r>
        <w:rPr>
          <w:rFonts w:ascii="Times New Roman" w:hAnsi="Times New Roman" w:eastAsia="黑体"/>
          <w:b w:val="0"/>
          <w:bCs w:val="0"/>
          <w:color w:val="000000" w:themeColor="text1"/>
          <w:sz w:val="32"/>
          <w:szCs w:val="32"/>
        </w:rPr>
        <w:t>第三十</w:t>
      </w:r>
      <w:r>
        <w:rPr>
          <w:rFonts w:hint="eastAsia" w:ascii="Times New Roman" w:hAnsi="Times New Roman" w:eastAsia="黑体"/>
          <w:b w:val="0"/>
          <w:bCs w:val="0"/>
          <w:color w:val="000000" w:themeColor="text1"/>
          <w:sz w:val="32"/>
          <w:szCs w:val="32"/>
        </w:rPr>
        <w:t>一</w:t>
      </w:r>
      <w:r>
        <w:rPr>
          <w:rFonts w:ascii="Times New Roman" w:hAnsi="Times New Roman" w:eastAsia="黑体"/>
          <w:b w:val="0"/>
          <w:bCs w:val="0"/>
          <w:color w:val="000000" w:themeColor="text1"/>
          <w:sz w:val="32"/>
          <w:szCs w:val="32"/>
        </w:rPr>
        <w:t>条</w:t>
      </w:r>
      <w:r>
        <w:rPr>
          <w:rFonts w:ascii="仿宋_GB2312" w:hAnsi="Times New Roman" w:eastAsia="仿宋_GB2312"/>
          <w:b w:val="0"/>
          <w:bCs w:val="0"/>
          <w:color w:val="000000" w:themeColor="text1"/>
          <w:sz w:val="32"/>
          <w:szCs w:val="32"/>
        </w:rPr>
        <w:t xml:space="preserve">  </w:t>
      </w:r>
      <w:r>
        <w:rPr>
          <w:rFonts w:ascii="Times New Roman" w:hAnsi="Times New Roman" w:eastAsia="仿宋_GB2312"/>
          <w:b w:val="0"/>
          <w:bCs w:val="0"/>
          <w:color w:val="000000" w:themeColor="text1"/>
          <w:sz w:val="32"/>
          <w:szCs w:val="32"/>
        </w:rPr>
        <w:t>本</w:t>
      </w:r>
      <w:r>
        <w:rPr>
          <w:rFonts w:hint="eastAsia" w:ascii="仿宋_GB2312" w:hAnsi="仿宋_GB2312" w:eastAsia="仿宋_GB2312" w:cs="仿宋_GB2312"/>
          <w:b w:val="0"/>
          <w:bCs w:val="0"/>
          <w:color w:val="000000" w:themeColor="text1"/>
          <w:spacing w:val="-20"/>
          <w:sz w:val="32"/>
          <w:szCs w:val="32"/>
        </w:rPr>
        <w:t>条例自2021年1月1日起施行。</w:t>
      </w:r>
      <w:r>
        <w:rPr>
          <w:rFonts w:ascii="Times New Roman" w:hAnsi="Times New Roman" w:eastAsia="仿宋_GB2312"/>
          <w:b w:val="0"/>
          <w:bCs w:val="0"/>
          <w:color w:val="000000" w:themeColor="text1"/>
          <w:sz w:val="32"/>
          <w:szCs w:val="32"/>
        </w:rPr>
        <w:pict>
          <v:shape id="_x0000_s1026" o:spid="_x0000_s1026" o:spt="202" type="#_x0000_t202" style="position:absolute;left:0pt;margin-left:327.9pt;margin-top:548pt;height:54pt;width:126.65pt;mso-wrap-style:none;z-index:251658240;mso-width-relative:page;mso-height-relative:page;" filled="f" stroked="f" coordsize="21600,21600">
            <v:path/>
            <v:fill on="f" focussize="0,0"/>
            <v:stroke on="f"/>
            <v:imagedata o:title=""/>
            <o:lock v:ext="edit"/>
            <v:textbox style="mso-fit-shape-to-text:t;">
              <w:txbxContent>
                <w:p>
                  <w:r>
                    <w:pict>
                      <v:shape id="_x0000_i1025" o:spt="75" alt="议案_湘政函〔2020〕73 号" type="#_x0000_t75" style="height:36.45pt;width:112.25pt;" filled="f" stroked="f" coordsize="21600,21600">
                        <v:path/>
                        <v:fill on="f" focussize="0,0"/>
                        <v:stroke on="f"/>
                        <v:imagedata r:id="rId6" grayscale="f" bilevel="f" o:title="议案_湘政函〔2020〕73 号"/>
                        <o:lock v:ext="edit" aspectratio="t"/>
                        <w10:wrap type="none"/>
                        <w10:anchorlock/>
                      </v:shape>
                    </w:pict>
                  </w:r>
                </w:p>
              </w:txbxContent>
            </v:textbox>
          </v:shape>
        </w:pict>
      </w:r>
      <w:bookmarkEnd w:id="0"/>
      <w:r>
        <w:rPr>
          <w:rFonts w:ascii="Times New Roman" w:hAnsi="Times New Roman" w:eastAsia="仿宋_GB2312"/>
          <w:b w:val="0"/>
          <w:bCs w:val="0"/>
          <w:color w:val="000000" w:themeColor="text1"/>
          <w:sz w:val="32"/>
          <w:szCs w:val="32"/>
        </w:rPr>
        <w:pict>
          <v:shape id="文本框 34" o:spid="_x0000_s1027" o:spt="202" type="#_x0000_t202" style="position:absolute;left:0pt;margin-left:327.9pt;margin-top:548pt;height:22.8pt;width:23.45pt;mso-wrap-style:none;z-index:251659264;mso-width-relative:page;mso-height-relative:page;" filled="f" stroked="f" coordsize="21600,21600">
            <v:path/>
            <v:fill on="f" focussize="0,0"/>
            <v:stroke on="f"/>
            <v:imagedata o:title=""/>
            <o:lock v:ext="edit"/>
            <v:textbox style="mso-fit-shape-to-text:t;">
              <w:txbxContent>
                <w:p/>
              </w:txbxContent>
            </v:textbox>
          </v:shape>
        </w:pict>
      </w: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ascii="方正小标宋_GBK" w:hAnsi="宋体" w:eastAsia="方正小标宋_GBK"/>
          <w:b w:val="0"/>
          <w:bCs w:val="0"/>
          <w:color w:val="000000" w:themeColor="text1"/>
          <w:w w:val="96"/>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textAlignment w:val="auto"/>
        <w:rPr>
          <w:b w:val="0"/>
          <w:bCs w:val="0"/>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jc w:val="both"/>
        <w:textAlignment w:val="auto"/>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CEF631D"/>
    <w:rsid w:val="7F9F832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rPr>
      <w:kern w:val="0"/>
      <w:sz w:val="20"/>
    </w:rPr>
  </w:style>
  <w:style w:type="paragraph" w:styleId="3">
    <w:name w:val="Body Text Indent"/>
    <w:basedOn w:val="1"/>
    <w:semiHidden/>
    <w:unhideWhenUsed/>
    <w:qFormat/>
    <w:uiPriority w:val="99"/>
    <w:pPr>
      <w:spacing w:after="120"/>
      <w:ind w:left="420" w:leftChars="200"/>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First Indent 2"/>
    <w:basedOn w:val="3"/>
    <w:qFormat/>
    <w:uiPriority w:val="0"/>
    <w:pPr>
      <w:ind w:firstLine="420" w:firstLineChars="200"/>
    </w:pPr>
    <w:rPr>
      <w:kern w:val="0"/>
      <w:sz w:val="20"/>
    </w:rPr>
  </w:style>
  <w:style w:type="character" w:styleId="9">
    <w:name w:val="FollowedHyperlink"/>
    <w:semiHidden/>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眉 字符"/>
    <w:link w:val="5"/>
    <w:qFormat/>
    <w:uiPriority w:val="99"/>
    <w:rPr>
      <w:sz w:val="18"/>
      <w:szCs w:val="18"/>
    </w:rPr>
  </w:style>
  <w:style w:type="character" w:customStyle="1" w:styleId="12">
    <w:name w:val="页脚 字符"/>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2020-12-21T15:47:39Z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