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E1513" w:rsidRDefault="004E1513">
      <w:pPr>
        <w:spacing w:line="560" w:lineRule="exact"/>
        <w:jc w:val="center"/>
        <w:rPr>
          <w:rFonts w:ascii="宋体" w:eastAsia="宋体" w:hAnsi="宋体" w:cs="宋体"/>
          <w:spacing w:val="0"/>
          <w:szCs w:val="32"/>
        </w:rPr>
      </w:pPr>
    </w:p>
    <w:p w:rsidR="004E1513" w:rsidRDefault="004E1513">
      <w:pPr>
        <w:spacing w:line="560" w:lineRule="exact"/>
        <w:jc w:val="center"/>
        <w:rPr>
          <w:rFonts w:ascii="宋体" w:eastAsia="宋体" w:hAnsi="宋体" w:cs="宋体"/>
          <w:spacing w:val="0"/>
          <w:szCs w:val="32"/>
        </w:rPr>
      </w:pPr>
    </w:p>
    <w:p w:rsidR="004E1513" w:rsidRDefault="00504516">
      <w:pPr>
        <w:spacing w:line="560" w:lineRule="exact"/>
        <w:jc w:val="center"/>
        <w:rPr>
          <w:rFonts w:asciiTheme="majorEastAsia" w:eastAsiaTheme="majorEastAsia" w:hAnsiTheme="majorEastAsia" w:cs="宋体"/>
          <w:spacing w:val="0"/>
          <w:sz w:val="44"/>
          <w:szCs w:val="44"/>
        </w:rPr>
      </w:pPr>
      <w:r>
        <w:rPr>
          <w:rFonts w:asciiTheme="majorEastAsia" w:eastAsiaTheme="majorEastAsia" w:hAnsiTheme="majorEastAsia" w:cs="宋体" w:hint="eastAsia"/>
          <w:spacing w:val="0"/>
          <w:sz w:val="44"/>
          <w:szCs w:val="44"/>
        </w:rPr>
        <w:t>湖州市大气污染防治规定</w:t>
      </w:r>
    </w:p>
    <w:p w:rsidR="004E1513" w:rsidRDefault="004E1513">
      <w:pPr>
        <w:pStyle w:val="a6"/>
        <w:spacing w:before="0" w:beforeAutospacing="0" w:after="0" w:afterAutospacing="0" w:line="560" w:lineRule="exact"/>
        <w:jc w:val="center"/>
        <w:rPr>
          <w:rFonts w:ascii="Times New Roman" w:eastAsia="方正小标宋简体" w:hAnsi="Times New Roman" w:cs="Times New Roman"/>
          <w:kern w:val="21"/>
          <w:sz w:val="36"/>
          <w:szCs w:val="36"/>
          <w:shd w:val="clear" w:color="auto" w:fill="FFFFFF"/>
        </w:rPr>
      </w:pPr>
    </w:p>
    <w:p w:rsidR="004E1513" w:rsidRDefault="00504516" w:rsidP="002F12AC">
      <w:pPr>
        <w:autoSpaceDE w:val="0"/>
        <w:autoSpaceDN w:val="0"/>
        <w:adjustRightInd w:val="0"/>
        <w:spacing w:line="240" w:lineRule="auto"/>
        <w:ind w:leftChars="200" w:left="628" w:rightChars="200" w:right="628"/>
        <w:rPr>
          <w:rFonts w:ascii="楷体_GB2312" w:eastAsia="楷体_GB2312" w:hAnsi="宋体" w:cs="仿宋_GB2312"/>
          <w:color w:val="000000"/>
          <w:kern w:val="0"/>
          <w:szCs w:val="21"/>
          <w:lang w:val="zh-CN"/>
        </w:rPr>
      </w:pPr>
      <w:bookmarkStart w:id="0" w:name="_GoBack"/>
      <w:bookmarkEnd w:id="0"/>
      <w:r>
        <w:rPr>
          <w:rFonts w:ascii="楷体_GB2312" w:eastAsia="楷体_GB2312" w:hAnsi="宋体" w:cs="仿宋_GB2312" w:hint="eastAsia"/>
          <w:color w:val="000000"/>
          <w:kern w:val="0"/>
          <w:szCs w:val="21"/>
          <w:lang w:val="zh-CN"/>
        </w:rPr>
        <w:t>（</w:t>
      </w:r>
      <w:r>
        <w:rPr>
          <w:rFonts w:ascii="楷体_GB2312" w:eastAsia="楷体_GB2312" w:hAnsi="宋体" w:cs="仿宋_GB2312" w:hint="eastAsia"/>
          <w:color w:val="000000"/>
          <w:kern w:val="0"/>
          <w:szCs w:val="21"/>
          <w:lang w:val="zh-CN"/>
        </w:rPr>
        <w:t>2019</w:t>
      </w:r>
      <w:r>
        <w:rPr>
          <w:rFonts w:ascii="楷体_GB2312" w:eastAsia="楷体_GB2312" w:hAnsi="宋体" w:cs="仿宋_GB2312" w:hint="eastAsia"/>
          <w:color w:val="000000"/>
          <w:kern w:val="0"/>
          <w:szCs w:val="21"/>
          <w:lang w:val="zh-CN"/>
        </w:rPr>
        <w:t>年</w:t>
      </w:r>
      <w:r>
        <w:rPr>
          <w:rFonts w:ascii="楷体_GB2312" w:eastAsia="楷体_GB2312" w:hAnsi="宋体" w:cs="仿宋_GB2312" w:hint="eastAsia"/>
          <w:color w:val="000000"/>
          <w:kern w:val="0"/>
          <w:szCs w:val="21"/>
          <w:lang w:val="zh-CN"/>
        </w:rPr>
        <w:t>12</w:t>
      </w:r>
      <w:r>
        <w:rPr>
          <w:rFonts w:ascii="楷体_GB2312" w:eastAsia="楷体_GB2312" w:hAnsi="宋体" w:cs="仿宋_GB2312" w:hint="eastAsia"/>
          <w:color w:val="000000"/>
          <w:kern w:val="0"/>
          <w:szCs w:val="21"/>
          <w:lang w:val="zh-CN"/>
        </w:rPr>
        <w:t>月</w:t>
      </w:r>
      <w:r>
        <w:rPr>
          <w:rFonts w:ascii="楷体_GB2312" w:eastAsia="楷体_GB2312" w:hAnsi="宋体" w:cs="仿宋_GB2312" w:hint="eastAsia"/>
          <w:color w:val="000000"/>
          <w:kern w:val="0"/>
          <w:szCs w:val="21"/>
          <w:lang w:val="zh-CN"/>
        </w:rPr>
        <w:t>26</w:t>
      </w:r>
      <w:r>
        <w:rPr>
          <w:rFonts w:ascii="楷体_GB2312" w:eastAsia="楷体_GB2312" w:hAnsi="宋体" w:cs="仿宋_GB2312" w:hint="eastAsia"/>
          <w:color w:val="000000"/>
          <w:kern w:val="0"/>
          <w:szCs w:val="21"/>
          <w:lang w:val="zh-CN"/>
        </w:rPr>
        <w:t>日湖州市第八届人民代表大会常务委员会第二十四次会议通过</w:t>
      </w:r>
      <w:r>
        <w:rPr>
          <w:rFonts w:ascii="楷体_GB2312" w:eastAsia="楷体_GB2312" w:hAnsi="宋体" w:cs="仿宋_GB2312" w:hint="eastAsia"/>
          <w:color w:val="000000"/>
          <w:kern w:val="0"/>
          <w:szCs w:val="21"/>
          <w:lang w:val="zh-CN"/>
        </w:rPr>
        <w:t xml:space="preserve">  2020</w:t>
      </w:r>
      <w:r>
        <w:rPr>
          <w:rFonts w:ascii="楷体_GB2312" w:eastAsia="楷体_GB2312" w:hAnsi="宋体" w:cs="仿宋_GB2312" w:hint="eastAsia"/>
          <w:color w:val="000000"/>
          <w:kern w:val="0"/>
          <w:szCs w:val="21"/>
          <w:lang w:val="zh-CN"/>
        </w:rPr>
        <w:t>年</w:t>
      </w:r>
      <w:r>
        <w:rPr>
          <w:rFonts w:ascii="楷体_GB2312" w:eastAsia="楷体_GB2312" w:hAnsi="宋体" w:cs="仿宋_GB2312" w:hint="eastAsia"/>
          <w:color w:val="000000"/>
          <w:kern w:val="0"/>
          <w:szCs w:val="21"/>
          <w:lang w:val="zh-CN"/>
        </w:rPr>
        <w:t>3</w:t>
      </w:r>
      <w:r>
        <w:rPr>
          <w:rFonts w:ascii="楷体_GB2312" w:eastAsia="楷体_GB2312" w:hAnsi="宋体" w:cs="仿宋_GB2312" w:hint="eastAsia"/>
          <w:color w:val="000000"/>
          <w:kern w:val="0"/>
          <w:szCs w:val="21"/>
          <w:lang w:val="zh-CN"/>
        </w:rPr>
        <w:t>月</w:t>
      </w:r>
      <w:r>
        <w:rPr>
          <w:rFonts w:ascii="楷体_GB2312" w:eastAsia="楷体_GB2312" w:hAnsi="宋体" w:cs="仿宋_GB2312" w:hint="eastAsia"/>
          <w:color w:val="000000"/>
          <w:kern w:val="0"/>
          <w:szCs w:val="21"/>
          <w:lang w:val="zh-CN"/>
        </w:rPr>
        <w:t>26</w:t>
      </w:r>
      <w:r>
        <w:rPr>
          <w:rFonts w:ascii="楷体_GB2312" w:eastAsia="楷体_GB2312" w:hAnsi="宋体" w:cs="仿宋_GB2312" w:hint="eastAsia"/>
          <w:color w:val="000000"/>
          <w:kern w:val="0"/>
          <w:szCs w:val="21"/>
          <w:lang w:val="zh-CN"/>
        </w:rPr>
        <w:t>日浙江省第十三届人民代表大会常务委员会第十九次会议批准）</w:t>
      </w:r>
    </w:p>
    <w:p w:rsidR="004E1513" w:rsidRDefault="004E1513">
      <w:pPr>
        <w:spacing w:line="560" w:lineRule="exact"/>
        <w:jc w:val="center"/>
        <w:rPr>
          <w:rFonts w:ascii="楷体_GB2312" w:eastAsia="楷体_GB2312" w:hAnsi="楷体_GB2312" w:cs="楷体_GB2312"/>
          <w:bCs/>
          <w:kern w:val="21"/>
          <w:sz w:val="30"/>
          <w:szCs w:val="30"/>
        </w:rPr>
      </w:pPr>
    </w:p>
    <w:p w:rsidR="004E1513" w:rsidRDefault="00504516">
      <w:pPr>
        <w:spacing w:line="600" w:lineRule="exact"/>
        <w:ind w:firstLineChars="200" w:firstLine="628"/>
        <w:rPr>
          <w:szCs w:val="32"/>
        </w:rPr>
      </w:pPr>
      <w:r>
        <w:rPr>
          <w:rFonts w:eastAsia="黑体"/>
          <w:szCs w:val="32"/>
        </w:rPr>
        <w:t>第一条</w:t>
      </w:r>
      <w:r>
        <w:rPr>
          <w:szCs w:val="32"/>
        </w:rPr>
        <w:t xml:space="preserve">  </w:t>
      </w:r>
      <w:r>
        <w:rPr>
          <w:szCs w:val="32"/>
        </w:rPr>
        <w:t>为了保护和改善大气环境，防治大气污染，保障公众健康，推进生态文明建设，促进经济社会可持续发展，根据《中华人民共和国环境保护法》《中华人民共和国大气污染防治法》《浙江省大气污染防治条例》等法律、法规，结合本市实际，制定本规定。</w:t>
      </w:r>
    </w:p>
    <w:p w:rsidR="004E1513" w:rsidRDefault="00504516">
      <w:pPr>
        <w:spacing w:line="600" w:lineRule="exact"/>
        <w:ind w:firstLineChars="200" w:firstLine="628"/>
        <w:rPr>
          <w:szCs w:val="32"/>
        </w:rPr>
      </w:pPr>
      <w:r>
        <w:rPr>
          <w:rFonts w:eastAsia="黑体"/>
          <w:szCs w:val="32"/>
        </w:rPr>
        <w:t>第二条</w:t>
      </w:r>
      <w:r>
        <w:rPr>
          <w:szCs w:val="32"/>
        </w:rPr>
        <w:t xml:space="preserve">  </w:t>
      </w:r>
      <w:r>
        <w:rPr>
          <w:szCs w:val="32"/>
        </w:rPr>
        <w:t>本规定适用于本市行政区域内大气污染防治及其监督管理活动。</w:t>
      </w:r>
    </w:p>
    <w:p w:rsidR="004E1513" w:rsidRDefault="00504516">
      <w:pPr>
        <w:spacing w:line="600" w:lineRule="exact"/>
        <w:ind w:firstLineChars="200" w:firstLine="628"/>
        <w:rPr>
          <w:szCs w:val="32"/>
        </w:rPr>
      </w:pPr>
      <w:r>
        <w:rPr>
          <w:rFonts w:eastAsia="黑体"/>
          <w:szCs w:val="32"/>
        </w:rPr>
        <w:t>第三条</w:t>
      </w:r>
      <w:r>
        <w:rPr>
          <w:szCs w:val="32"/>
        </w:rPr>
        <w:t xml:space="preserve">  </w:t>
      </w:r>
      <w:r>
        <w:rPr>
          <w:szCs w:val="32"/>
        </w:rPr>
        <w:t>各级人民政府对本行政区域的大气环境质量负责。</w:t>
      </w:r>
    </w:p>
    <w:p w:rsidR="004E1513" w:rsidRDefault="00504516">
      <w:pPr>
        <w:spacing w:line="600" w:lineRule="exact"/>
        <w:ind w:firstLineChars="200" w:firstLine="628"/>
        <w:rPr>
          <w:szCs w:val="32"/>
        </w:rPr>
      </w:pPr>
      <w:r>
        <w:rPr>
          <w:szCs w:val="32"/>
        </w:rPr>
        <w:t>市、区县人民政府应当健全并落实规划编制、统筹协调、区域合作、财政投入、考核通报以及问责等机制。</w:t>
      </w:r>
    </w:p>
    <w:p w:rsidR="004E1513" w:rsidRDefault="00504516">
      <w:pPr>
        <w:spacing w:line="600" w:lineRule="exact"/>
        <w:ind w:firstLineChars="200" w:firstLine="628"/>
        <w:rPr>
          <w:szCs w:val="32"/>
        </w:rPr>
      </w:pPr>
      <w:r>
        <w:rPr>
          <w:szCs w:val="32"/>
        </w:rPr>
        <w:t>生态环境主管部门对大气污染防治实施统一监督管理。</w:t>
      </w:r>
    </w:p>
    <w:p w:rsidR="004E1513" w:rsidRDefault="00504516">
      <w:pPr>
        <w:spacing w:line="600" w:lineRule="exact"/>
        <w:ind w:firstLineChars="200" w:firstLine="628"/>
        <w:rPr>
          <w:szCs w:val="32"/>
        </w:rPr>
      </w:pPr>
      <w:r>
        <w:rPr>
          <w:szCs w:val="32"/>
        </w:rPr>
        <w:t>发展和改革、自然资源和规划、经济和信息化、市场监督管理、公安、交通运输、住房和城乡建设、综合行政执法、农业农</w:t>
      </w:r>
      <w:r>
        <w:rPr>
          <w:szCs w:val="32"/>
        </w:rPr>
        <w:lastRenderedPageBreak/>
        <w:t>村、商务、水行政、气象等部门应当按照各自职责，做好大气污染防治监督管理相关工作。</w:t>
      </w:r>
    </w:p>
    <w:p w:rsidR="004E1513" w:rsidRDefault="00504516">
      <w:pPr>
        <w:spacing w:line="600" w:lineRule="exact"/>
        <w:ind w:firstLineChars="200" w:firstLine="628"/>
        <w:rPr>
          <w:szCs w:val="32"/>
        </w:rPr>
      </w:pPr>
      <w:r>
        <w:rPr>
          <w:rFonts w:eastAsia="黑体"/>
          <w:szCs w:val="32"/>
        </w:rPr>
        <w:t>第四条</w:t>
      </w:r>
      <w:r>
        <w:rPr>
          <w:szCs w:val="32"/>
        </w:rPr>
        <w:t xml:space="preserve">  </w:t>
      </w:r>
      <w:r>
        <w:rPr>
          <w:szCs w:val="32"/>
        </w:rPr>
        <w:t>市、区县人民政府编制国土空间总体规划时，应当根据本行政区域内自然地貌形态、气象条件，科学规划通风廊道，并且保持畅通。</w:t>
      </w:r>
    </w:p>
    <w:p w:rsidR="004E1513" w:rsidRDefault="00504516">
      <w:pPr>
        <w:spacing w:line="600" w:lineRule="exact"/>
        <w:ind w:firstLineChars="200" w:firstLine="628"/>
        <w:rPr>
          <w:szCs w:val="32"/>
        </w:rPr>
      </w:pPr>
      <w:r>
        <w:rPr>
          <w:szCs w:val="32"/>
        </w:rPr>
        <w:t>市、区县人民政府布局大气环境重点排污单位应当符合国土空间分区分类实施用途管制要求，对不符合要求的已建大气环境重点排污单位应当逐步依法搬迁。</w:t>
      </w:r>
      <w:r>
        <w:rPr>
          <w:szCs w:val="32"/>
        </w:rPr>
        <w:t xml:space="preserve"> </w:t>
      </w:r>
    </w:p>
    <w:p w:rsidR="004E1513" w:rsidRDefault="00504516">
      <w:pPr>
        <w:spacing w:line="600" w:lineRule="exact"/>
        <w:ind w:firstLineChars="200" w:firstLine="628"/>
        <w:rPr>
          <w:szCs w:val="32"/>
        </w:rPr>
      </w:pPr>
      <w:r>
        <w:rPr>
          <w:rFonts w:eastAsia="黑体"/>
          <w:szCs w:val="32"/>
        </w:rPr>
        <w:t>第五条</w:t>
      </w:r>
      <w:r>
        <w:rPr>
          <w:rFonts w:eastAsia="黑体"/>
          <w:szCs w:val="32"/>
        </w:rPr>
        <w:t xml:space="preserve"> </w:t>
      </w:r>
      <w:r>
        <w:rPr>
          <w:szCs w:val="32"/>
        </w:rPr>
        <w:t xml:space="preserve"> </w:t>
      </w:r>
      <w:r>
        <w:rPr>
          <w:szCs w:val="32"/>
        </w:rPr>
        <w:t>市、区县人民政府应当支持节能环保、清洁生产、清洁能源等产业发展和技术研究推广；培育低污染、低能耗、高附加值的新兴产业和高端制造业；严格限制高污染、高能耗行业产能。</w:t>
      </w:r>
    </w:p>
    <w:p w:rsidR="004E1513" w:rsidRDefault="00504516">
      <w:pPr>
        <w:spacing w:line="600" w:lineRule="exact"/>
        <w:ind w:firstLineChars="200" w:firstLine="628"/>
        <w:rPr>
          <w:szCs w:val="32"/>
        </w:rPr>
      </w:pPr>
      <w:r>
        <w:rPr>
          <w:szCs w:val="32"/>
        </w:rPr>
        <w:t>市、区县人民政府应当引导水泥、化纤、玻璃、印染等传统行业转型升级，提高清洁能源使用比率，全面推行绿色制造，提升绿色发展水平。</w:t>
      </w:r>
    </w:p>
    <w:p w:rsidR="004E1513" w:rsidRDefault="00504516">
      <w:pPr>
        <w:spacing w:line="600" w:lineRule="exact"/>
        <w:ind w:firstLineChars="200" w:firstLine="628"/>
        <w:rPr>
          <w:szCs w:val="32"/>
        </w:rPr>
      </w:pPr>
      <w:r>
        <w:rPr>
          <w:rFonts w:eastAsia="黑体"/>
          <w:szCs w:val="32"/>
        </w:rPr>
        <w:t>第六条</w:t>
      </w:r>
      <w:r>
        <w:rPr>
          <w:szCs w:val="32"/>
        </w:rPr>
        <w:t xml:space="preserve">  </w:t>
      </w:r>
      <w:r>
        <w:rPr>
          <w:szCs w:val="32"/>
        </w:rPr>
        <w:t>市、区县人民政府对执行严于省大气污染物排放标准而开展技术改</w:t>
      </w:r>
      <w:r>
        <w:rPr>
          <w:szCs w:val="32"/>
        </w:rPr>
        <w:t>造、设备更新、能源替代的单位，应当给予政策支持；对在大气污染防治方面</w:t>
      </w:r>
      <w:proofErr w:type="gramStart"/>
      <w:r>
        <w:rPr>
          <w:szCs w:val="32"/>
        </w:rPr>
        <w:t>作出</w:t>
      </w:r>
      <w:proofErr w:type="gramEnd"/>
      <w:r>
        <w:rPr>
          <w:szCs w:val="32"/>
        </w:rPr>
        <w:t>显著成绩的单位和个人，应当给予褒扬、奖励。</w:t>
      </w:r>
    </w:p>
    <w:p w:rsidR="004E1513" w:rsidRDefault="00504516">
      <w:pPr>
        <w:spacing w:line="600" w:lineRule="exact"/>
        <w:ind w:firstLineChars="200" w:firstLine="628"/>
        <w:rPr>
          <w:szCs w:val="32"/>
        </w:rPr>
      </w:pPr>
      <w:r>
        <w:rPr>
          <w:szCs w:val="32"/>
        </w:rPr>
        <w:t>生态环境等主管部门应当明确、公布、畅通投诉举报渠道，对投诉或者举报大气污染违法行为查证属实的，按照规定给予奖</w:t>
      </w:r>
      <w:r>
        <w:rPr>
          <w:szCs w:val="32"/>
        </w:rPr>
        <w:lastRenderedPageBreak/>
        <w:t>励。</w:t>
      </w:r>
      <w:r>
        <w:rPr>
          <w:szCs w:val="32"/>
        </w:rPr>
        <w:t> </w:t>
      </w:r>
    </w:p>
    <w:p w:rsidR="004E1513" w:rsidRDefault="00504516">
      <w:pPr>
        <w:spacing w:line="600" w:lineRule="exact"/>
        <w:ind w:firstLineChars="200" w:firstLine="628"/>
        <w:rPr>
          <w:szCs w:val="32"/>
        </w:rPr>
      </w:pPr>
      <w:r>
        <w:rPr>
          <w:rFonts w:eastAsia="黑体"/>
          <w:szCs w:val="32"/>
        </w:rPr>
        <w:t>第七条</w:t>
      </w:r>
      <w:r>
        <w:rPr>
          <w:rFonts w:eastAsia="黑体"/>
          <w:szCs w:val="32"/>
        </w:rPr>
        <w:t xml:space="preserve"> </w:t>
      </w:r>
      <w:r>
        <w:rPr>
          <w:szCs w:val="32"/>
        </w:rPr>
        <w:t xml:space="preserve"> </w:t>
      </w:r>
      <w:r>
        <w:rPr>
          <w:szCs w:val="32"/>
        </w:rPr>
        <w:t>鼓励和支持符合法律规定的机关、有关组织就排放大气污染</w:t>
      </w:r>
      <w:proofErr w:type="gramStart"/>
      <w:r>
        <w:rPr>
          <w:szCs w:val="32"/>
        </w:rPr>
        <w:t>物损害</w:t>
      </w:r>
      <w:proofErr w:type="gramEnd"/>
      <w:r>
        <w:rPr>
          <w:szCs w:val="32"/>
        </w:rPr>
        <w:t>社会公共利益的行为，向人民法院提起公益诉讼。</w:t>
      </w:r>
    </w:p>
    <w:p w:rsidR="004E1513" w:rsidRDefault="00504516">
      <w:pPr>
        <w:spacing w:line="600" w:lineRule="exact"/>
        <w:ind w:firstLineChars="200" w:firstLine="628"/>
        <w:rPr>
          <w:szCs w:val="32"/>
        </w:rPr>
      </w:pPr>
      <w:r>
        <w:rPr>
          <w:szCs w:val="32"/>
        </w:rPr>
        <w:t>市、区县人民政府应当保障公益诉讼资金。</w:t>
      </w:r>
    </w:p>
    <w:p w:rsidR="004E1513" w:rsidRDefault="00504516">
      <w:pPr>
        <w:spacing w:line="600" w:lineRule="exact"/>
        <w:ind w:firstLineChars="200" w:firstLine="628"/>
        <w:rPr>
          <w:szCs w:val="32"/>
        </w:rPr>
      </w:pPr>
      <w:r>
        <w:rPr>
          <w:rFonts w:eastAsia="黑体"/>
          <w:szCs w:val="32"/>
        </w:rPr>
        <w:t>第八条</w:t>
      </w:r>
      <w:r>
        <w:rPr>
          <w:szCs w:val="32"/>
        </w:rPr>
        <w:t xml:space="preserve">  </w:t>
      </w:r>
      <w:r>
        <w:rPr>
          <w:szCs w:val="32"/>
        </w:rPr>
        <w:t>市、区县人民政府应当加快推进大气环境质量自动监测、遥感监测网络建设。</w:t>
      </w:r>
    </w:p>
    <w:p w:rsidR="004E1513" w:rsidRDefault="00504516">
      <w:pPr>
        <w:spacing w:line="600" w:lineRule="exact"/>
        <w:ind w:firstLineChars="200" w:firstLine="628"/>
        <w:rPr>
          <w:szCs w:val="32"/>
        </w:rPr>
      </w:pPr>
      <w:r>
        <w:rPr>
          <w:szCs w:val="32"/>
        </w:rPr>
        <w:t>经计量检定合格并正常运行的遥感监测设备监测到的数据，可以作为行政监督管理的依据。</w:t>
      </w:r>
    </w:p>
    <w:p w:rsidR="004E1513" w:rsidRDefault="00504516">
      <w:pPr>
        <w:spacing w:line="600" w:lineRule="exact"/>
        <w:ind w:firstLineChars="200" w:firstLine="628"/>
        <w:rPr>
          <w:szCs w:val="32"/>
        </w:rPr>
      </w:pPr>
      <w:r>
        <w:rPr>
          <w:rFonts w:eastAsia="黑体"/>
          <w:szCs w:val="32"/>
        </w:rPr>
        <w:t>第九条</w:t>
      </w:r>
      <w:r>
        <w:rPr>
          <w:rFonts w:eastAsia="黑体"/>
          <w:szCs w:val="32"/>
        </w:rPr>
        <w:t xml:space="preserve"> </w:t>
      </w:r>
      <w:r>
        <w:rPr>
          <w:szCs w:val="32"/>
        </w:rPr>
        <w:t xml:space="preserve"> </w:t>
      </w:r>
      <w:r>
        <w:rPr>
          <w:szCs w:val="32"/>
        </w:rPr>
        <w:t>市、县人民政府应当在本行政区域内划定并</w:t>
      </w:r>
      <w:proofErr w:type="gramStart"/>
      <w:r>
        <w:rPr>
          <w:szCs w:val="32"/>
        </w:rPr>
        <w:t>公布高</w:t>
      </w:r>
      <w:proofErr w:type="gramEnd"/>
      <w:r>
        <w:rPr>
          <w:szCs w:val="32"/>
        </w:rPr>
        <w:t>污染燃料禁燃区，并根据大气环境质量改善要求，逐步扩大</w:t>
      </w:r>
      <w:r>
        <w:rPr>
          <w:szCs w:val="32"/>
        </w:rPr>
        <w:t>Ⅲ</w:t>
      </w:r>
      <w:r>
        <w:rPr>
          <w:szCs w:val="32"/>
        </w:rPr>
        <w:t>类标准高污染燃料禁燃区范围。</w:t>
      </w:r>
    </w:p>
    <w:p w:rsidR="004E1513" w:rsidRDefault="00504516">
      <w:pPr>
        <w:spacing w:line="600" w:lineRule="exact"/>
        <w:ind w:firstLineChars="200" w:firstLine="628"/>
        <w:rPr>
          <w:szCs w:val="32"/>
        </w:rPr>
      </w:pPr>
      <w:r>
        <w:rPr>
          <w:szCs w:val="32"/>
        </w:rPr>
        <w:t>集中供热管网、燃气管网覆盖范围内的生物质锅炉应当在市人民政府规定期限内完成超低排放改造。集中供热管网、燃气管网覆盖范围以外的生物质锅炉应当在市人民政府规定期限内完成清洁排放提升改造。</w:t>
      </w:r>
    </w:p>
    <w:p w:rsidR="004E1513" w:rsidRDefault="00504516">
      <w:pPr>
        <w:spacing w:line="600" w:lineRule="exact"/>
        <w:ind w:firstLineChars="200" w:firstLine="628"/>
        <w:rPr>
          <w:szCs w:val="32"/>
        </w:rPr>
      </w:pPr>
      <w:r>
        <w:rPr>
          <w:szCs w:val="32"/>
        </w:rPr>
        <w:t>生物质锅炉禁止掺杂添加燃烧煤炭或者其他产生有毒有害烟尘、恶臭气体的物质，并按照国家和省的有关规定安装自动监测或者监控设备。</w:t>
      </w:r>
    </w:p>
    <w:p w:rsidR="004E1513" w:rsidRDefault="00504516">
      <w:pPr>
        <w:spacing w:line="600" w:lineRule="exact"/>
        <w:ind w:firstLineChars="200" w:firstLine="628"/>
        <w:rPr>
          <w:szCs w:val="32"/>
        </w:rPr>
      </w:pPr>
      <w:r>
        <w:rPr>
          <w:szCs w:val="32"/>
        </w:rPr>
        <w:t>违反第二款规定的，由生态环境主管部门责令改正，处二万元以上二十万元以下的罚款；拒不改正的，责令停产整治。</w:t>
      </w:r>
    </w:p>
    <w:p w:rsidR="004E1513" w:rsidRDefault="00504516">
      <w:pPr>
        <w:spacing w:line="600" w:lineRule="exact"/>
        <w:ind w:firstLineChars="200" w:firstLine="628"/>
        <w:rPr>
          <w:szCs w:val="32"/>
        </w:rPr>
      </w:pPr>
      <w:r>
        <w:rPr>
          <w:szCs w:val="32"/>
        </w:rPr>
        <w:t>违反第三款规定，掺杂添加燃烧煤炭或者其他产生有毒有害</w:t>
      </w:r>
      <w:r>
        <w:rPr>
          <w:szCs w:val="32"/>
        </w:rPr>
        <w:lastRenderedPageBreak/>
        <w:t>烟尘、恶臭气体的物质的，由生态环境主管部门责令改正，处一万元以上十万元以下的罚款。未按照国家和省的有关规定安装自动监测或者监控设备的，由生态环境主管部门责令改正，处二万元以上二十万元以下的罚款；拒不改正的，责令停产整治。</w:t>
      </w:r>
    </w:p>
    <w:p w:rsidR="004E1513" w:rsidRDefault="00504516">
      <w:pPr>
        <w:spacing w:line="600" w:lineRule="exact"/>
        <w:ind w:firstLineChars="200" w:firstLine="628"/>
        <w:rPr>
          <w:szCs w:val="32"/>
        </w:rPr>
      </w:pPr>
      <w:r>
        <w:rPr>
          <w:rFonts w:eastAsia="黑体"/>
          <w:szCs w:val="32"/>
        </w:rPr>
        <w:t>第十条</w:t>
      </w:r>
      <w:r>
        <w:rPr>
          <w:rFonts w:eastAsia="黑体"/>
          <w:szCs w:val="32"/>
        </w:rPr>
        <w:t xml:space="preserve"> </w:t>
      </w:r>
      <w:r>
        <w:rPr>
          <w:szCs w:val="32"/>
        </w:rPr>
        <w:t xml:space="preserve"> </w:t>
      </w:r>
      <w:r>
        <w:rPr>
          <w:szCs w:val="32"/>
        </w:rPr>
        <w:t>生物质工业炉窑应当按照国家和省的有关规定进行改造，并配备高效除尘等设施。</w:t>
      </w:r>
    </w:p>
    <w:p w:rsidR="004E1513" w:rsidRDefault="00504516">
      <w:pPr>
        <w:spacing w:line="600" w:lineRule="exact"/>
        <w:ind w:firstLineChars="200" w:firstLine="628"/>
        <w:rPr>
          <w:szCs w:val="32"/>
        </w:rPr>
      </w:pPr>
      <w:r>
        <w:rPr>
          <w:szCs w:val="32"/>
        </w:rPr>
        <w:t>违反前款规定的，由生态环境主管部门责令改正，处二万元以上二十万元以下的罚款。</w:t>
      </w:r>
    </w:p>
    <w:p w:rsidR="004E1513" w:rsidRDefault="00504516">
      <w:pPr>
        <w:spacing w:line="600" w:lineRule="exact"/>
        <w:ind w:firstLineChars="200" w:firstLine="628"/>
        <w:rPr>
          <w:szCs w:val="32"/>
        </w:rPr>
      </w:pPr>
      <w:r>
        <w:rPr>
          <w:rFonts w:eastAsia="黑体"/>
          <w:szCs w:val="32"/>
        </w:rPr>
        <w:t>第十一条</w:t>
      </w:r>
      <w:r>
        <w:rPr>
          <w:szCs w:val="32"/>
        </w:rPr>
        <w:t xml:space="preserve">  </w:t>
      </w:r>
      <w:r>
        <w:rPr>
          <w:szCs w:val="32"/>
        </w:rPr>
        <w:t>生物质成型燃料生产者应当在产品包装上标明产品规格、性能指标以及所含主要成份的名称、含量。</w:t>
      </w:r>
    </w:p>
    <w:p w:rsidR="004E1513" w:rsidRDefault="00504516">
      <w:pPr>
        <w:spacing w:line="600" w:lineRule="exact"/>
        <w:ind w:firstLineChars="200" w:firstLine="628"/>
        <w:rPr>
          <w:szCs w:val="32"/>
        </w:rPr>
      </w:pPr>
      <w:r>
        <w:rPr>
          <w:szCs w:val="32"/>
        </w:rPr>
        <w:t>市场监督管理部门应当通过现场检查、产品抽查、原辅材料进出记录查阅或者委托检验等方式对生物质成型燃料的规格、性能指标进行监督检查，并向社会公开监督检查结果。</w:t>
      </w:r>
    </w:p>
    <w:p w:rsidR="004E1513" w:rsidRDefault="00504516">
      <w:pPr>
        <w:spacing w:line="600" w:lineRule="exact"/>
        <w:ind w:firstLineChars="200" w:firstLine="628"/>
        <w:rPr>
          <w:szCs w:val="32"/>
        </w:rPr>
      </w:pPr>
      <w:r>
        <w:rPr>
          <w:szCs w:val="32"/>
        </w:rPr>
        <w:t>违反第一款规定的，由市场监督管理部门依法处理。</w:t>
      </w:r>
    </w:p>
    <w:p w:rsidR="004E1513" w:rsidRDefault="00504516">
      <w:pPr>
        <w:spacing w:line="600" w:lineRule="exact"/>
        <w:ind w:firstLineChars="200" w:firstLine="628"/>
        <w:rPr>
          <w:szCs w:val="32"/>
        </w:rPr>
      </w:pPr>
      <w:r>
        <w:rPr>
          <w:rFonts w:eastAsia="黑体"/>
          <w:szCs w:val="32"/>
        </w:rPr>
        <w:t>第十二条</w:t>
      </w:r>
      <w:r>
        <w:rPr>
          <w:szCs w:val="32"/>
        </w:rPr>
        <w:t xml:space="preserve">  </w:t>
      </w:r>
      <w:r>
        <w:rPr>
          <w:szCs w:val="32"/>
        </w:rPr>
        <w:t>市、区县人民政府应当支持家具、机械涂装、</w:t>
      </w:r>
      <w:r>
        <w:rPr>
          <w:szCs w:val="32"/>
        </w:rPr>
        <w:t>漆包线等排放挥发性有机物的重点行业绿色升级改造。</w:t>
      </w:r>
    </w:p>
    <w:p w:rsidR="004E1513" w:rsidRDefault="00504516">
      <w:pPr>
        <w:spacing w:line="600" w:lineRule="exact"/>
        <w:ind w:firstLineChars="200" w:firstLine="628"/>
        <w:rPr>
          <w:szCs w:val="32"/>
        </w:rPr>
      </w:pPr>
      <w:r>
        <w:rPr>
          <w:szCs w:val="32"/>
        </w:rPr>
        <w:t>新建、改建、扩建排放挥发性有机物的建设项目，应当使用行业污染防治先进技术，配套安装高效治理设施。</w:t>
      </w:r>
    </w:p>
    <w:p w:rsidR="004E1513" w:rsidRDefault="00504516">
      <w:pPr>
        <w:spacing w:line="600" w:lineRule="exact"/>
        <w:ind w:firstLineChars="200" w:firstLine="628"/>
        <w:rPr>
          <w:szCs w:val="32"/>
        </w:rPr>
      </w:pPr>
      <w:r>
        <w:rPr>
          <w:szCs w:val="32"/>
        </w:rPr>
        <w:t>国家机关办公建筑和以政府投资为主的其他公共建筑、基础设施，应当选用符合国家、省有关规范和标准的低挥发性建筑装饰材料。</w:t>
      </w:r>
    </w:p>
    <w:p w:rsidR="004E1513" w:rsidRDefault="00504516">
      <w:pPr>
        <w:spacing w:line="600" w:lineRule="exact"/>
        <w:ind w:firstLineChars="200" w:firstLine="628"/>
        <w:rPr>
          <w:szCs w:val="32"/>
        </w:rPr>
      </w:pPr>
      <w:r>
        <w:rPr>
          <w:rFonts w:eastAsia="黑体"/>
          <w:szCs w:val="32"/>
        </w:rPr>
        <w:lastRenderedPageBreak/>
        <w:t>第十三条</w:t>
      </w:r>
      <w:r>
        <w:rPr>
          <w:rFonts w:eastAsia="黑体"/>
          <w:szCs w:val="32"/>
        </w:rPr>
        <w:t xml:space="preserve"> </w:t>
      </w:r>
      <w:r>
        <w:rPr>
          <w:szCs w:val="32"/>
        </w:rPr>
        <w:t xml:space="preserve"> </w:t>
      </w:r>
      <w:r>
        <w:rPr>
          <w:szCs w:val="32"/>
        </w:rPr>
        <w:t>生态环境主管部门应当将国家、省挥发性有机物污染防治的有关规定要求在排污许可证中载明。</w:t>
      </w:r>
    </w:p>
    <w:p w:rsidR="004E1513" w:rsidRDefault="00504516">
      <w:pPr>
        <w:spacing w:line="600" w:lineRule="exact"/>
        <w:ind w:firstLineChars="200" w:firstLine="628"/>
        <w:rPr>
          <w:szCs w:val="32"/>
        </w:rPr>
      </w:pPr>
      <w:r>
        <w:rPr>
          <w:szCs w:val="32"/>
        </w:rPr>
        <w:t>相关企业事业单位和其他生产经营者应当按照国家和省挥发性有机物相关标准以及防治技术指南，规范操作规程，组织生产经营管理。</w:t>
      </w:r>
    </w:p>
    <w:p w:rsidR="004E1513" w:rsidRDefault="00504516">
      <w:pPr>
        <w:spacing w:line="600" w:lineRule="exact"/>
        <w:ind w:firstLineChars="200" w:firstLine="628"/>
        <w:rPr>
          <w:szCs w:val="32"/>
        </w:rPr>
      </w:pPr>
      <w:r>
        <w:rPr>
          <w:rFonts w:eastAsia="黑体"/>
          <w:szCs w:val="32"/>
        </w:rPr>
        <w:t>第十四条</w:t>
      </w:r>
      <w:r>
        <w:rPr>
          <w:szCs w:val="32"/>
        </w:rPr>
        <w:t xml:space="preserve">  </w:t>
      </w:r>
      <w:r>
        <w:rPr>
          <w:szCs w:val="32"/>
        </w:rPr>
        <w:t>排放挥发性有机物</w:t>
      </w:r>
      <w:r>
        <w:rPr>
          <w:szCs w:val="32"/>
        </w:rPr>
        <w:t>的重点排污单位应当确保治理设施正常运行、规范使用。</w:t>
      </w:r>
    </w:p>
    <w:p w:rsidR="004E1513" w:rsidRDefault="00504516">
      <w:pPr>
        <w:spacing w:line="600" w:lineRule="exact"/>
        <w:ind w:firstLineChars="200" w:firstLine="628"/>
        <w:rPr>
          <w:szCs w:val="32"/>
        </w:rPr>
      </w:pPr>
      <w:r>
        <w:rPr>
          <w:szCs w:val="32"/>
        </w:rPr>
        <w:t>挥发性有机物的重点排污单位应当安装治理设施用电全过程监管设备，与生态环境主管部门的监控设备联网，并保证正常运行。</w:t>
      </w:r>
    </w:p>
    <w:p w:rsidR="004E1513" w:rsidRDefault="00504516">
      <w:pPr>
        <w:spacing w:line="600" w:lineRule="exact"/>
        <w:ind w:firstLineChars="200" w:firstLine="628"/>
        <w:rPr>
          <w:szCs w:val="32"/>
        </w:rPr>
      </w:pPr>
      <w:r>
        <w:rPr>
          <w:rFonts w:eastAsia="黑体"/>
          <w:szCs w:val="32"/>
        </w:rPr>
        <w:t>第十五条</w:t>
      </w:r>
      <w:r>
        <w:rPr>
          <w:rFonts w:eastAsia="黑体"/>
          <w:szCs w:val="32"/>
        </w:rPr>
        <w:t xml:space="preserve"> </w:t>
      </w:r>
      <w:r>
        <w:rPr>
          <w:szCs w:val="32"/>
        </w:rPr>
        <w:t xml:space="preserve"> </w:t>
      </w:r>
      <w:r>
        <w:rPr>
          <w:szCs w:val="32"/>
        </w:rPr>
        <w:t>对排放黑烟明显的、被投诉举报的和经排气污染自动检测或者遥感监测筛选可能不符合规定排放限值标准的在用机动车、机动船舶、非道路移动机械，生态环境主管部门应当进行排气监督抽测。</w:t>
      </w:r>
    </w:p>
    <w:p w:rsidR="004E1513" w:rsidRDefault="00504516">
      <w:pPr>
        <w:spacing w:line="600" w:lineRule="exact"/>
        <w:ind w:firstLineChars="200" w:firstLine="628"/>
        <w:rPr>
          <w:szCs w:val="32"/>
        </w:rPr>
      </w:pPr>
      <w:r>
        <w:rPr>
          <w:szCs w:val="32"/>
        </w:rPr>
        <w:t>经排气监督抽测，不符合排放限值标准的机动车、机动船舶，由生态环境、交通运输、农业农村主管部门按各自职责责令限期维修、重新进行排气污染检测。逾期未维修或者重新检测不</w:t>
      </w:r>
      <w:r>
        <w:rPr>
          <w:szCs w:val="32"/>
        </w:rPr>
        <w:t>符合排放限值标准的机动车、机动船舶，不得</w:t>
      </w:r>
      <w:proofErr w:type="gramStart"/>
      <w:r>
        <w:rPr>
          <w:szCs w:val="32"/>
        </w:rPr>
        <w:t>上道路</w:t>
      </w:r>
      <w:proofErr w:type="gramEnd"/>
      <w:r>
        <w:rPr>
          <w:szCs w:val="32"/>
        </w:rPr>
        <w:t>行驶或者运营。</w:t>
      </w:r>
    </w:p>
    <w:p w:rsidR="004E1513" w:rsidRDefault="00504516">
      <w:pPr>
        <w:spacing w:line="600" w:lineRule="exact"/>
        <w:ind w:firstLineChars="200" w:firstLine="628"/>
        <w:rPr>
          <w:szCs w:val="32"/>
        </w:rPr>
      </w:pPr>
      <w:r>
        <w:rPr>
          <w:szCs w:val="32"/>
        </w:rPr>
        <w:t>经排气监督抽测，不符合排放限值标准的非道路移动机械，不得使用。</w:t>
      </w:r>
    </w:p>
    <w:p w:rsidR="004E1513" w:rsidRDefault="00504516">
      <w:pPr>
        <w:spacing w:line="600" w:lineRule="exact"/>
        <w:ind w:firstLineChars="200" w:firstLine="628"/>
        <w:rPr>
          <w:szCs w:val="32"/>
        </w:rPr>
      </w:pPr>
      <w:r>
        <w:rPr>
          <w:rFonts w:eastAsia="黑体"/>
          <w:szCs w:val="32"/>
        </w:rPr>
        <w:t>第十六条</w:t>
      </w:r>
      <w:r>
        <w:rPr>
          <w:rFonts w:eastAsia="黑体"/>
          <w:szCs w:val="32"/>
        </w:rPr>
        <w:t xml:space="preserve"> </w:t>
      </w:r>
      <w:r>
        <w:rPr>
          <w:szCs w:val="32"/>
        </w:rPr>
        <w:t xml:space="preserve"> </w:t>
      </w:r>
      <w:r>
        <w:rPr>
          <w:szCs w:val="32"/>
        </w:rPr>
        <w:t>非道路移动机械实施编码登记和环保标牌管理制</w:t>
      </w:r>
      <w:r>
        <w:rPr>
          <w:szCs w:val="32"/>
        </w:rPr>
        <w:lastRenderedPageBreak/>
        <w:t>度，具体办法由市人民政府根据国家有关规定制定并公布。</w:t>
      </w:r>
    </w:p>
    <w:p w:rsidR="004E1513" w:rsidRDefault="00504516">
      <w:pPr>
        <w:spacing w:line="600" w:lineRule="exact"/>
        <w:ind w:firstLineChars="200" w:firstLine="628"/>
        <w:rPr>
          <w:szCs w:val="32"/>
        </w:rPr>
      </w:pPr>
      <w:r>
        <w:rPr>
          <w:szCs w:val="32"/>
        </w:rPr>
        <w:t xml:space="preserve">非道路移动机械的所有人应当按照具体办法规定，向生态环境主管部门报送编码登记信息，悬挂环保标牌。　</w:t>
      </w:r>
    </w:p>
    <w:p w:rsidR="004E1513" w:rsidRDefault="00504516">
      <w:pPr>
        <w:spacing w:line="600" w:lineRule="exact"/>
        <w:ind w:firstLineChars="200" w:firstLine="628"/>
        <w:rPr>
          <w:szCs w:val="32"/>
        </w:rPr>
      </w:pPr>
      <w:r>
        <w:rPr>
          <w:szCs w:val="32"/>
        </w:rPr>
        <w:t>违反第二款规定，未报送编码登记信息的，由生态环境主管部门责令限期改正；逾期不改正的，处二百元以上二千元以下的罚款。未悬挂环保标牌作业使用的，由生态环境主管部门责令改正；拒不改正的，</w:t>
      </w:r>
      <w:r>
        <w:rPr>
          <w:szCs w:val="32"/>
        </w:rPr>
        <w:t>处二十元以上二百元以下的罚款。</w:t>
      </w:r>
    </w:p>
    <w:p w:rsidR="004E1513" w:rsidRDefault="00504516">
      <w:pPr>
        <w:spacing w:line="600" w:lineRule="exact"/>
        <w:ind w:firstLineChars="200" w:firstLine="628"/>
        <w:rPr>
          <w:szCs w:val="32"/>
        </w:rPr>
      </w:pPr>
      <w:r>
        <w:rPr>
          <w:rFonts w:eastAsia="黑体"/>
          <w:szCs w:val="32"/>
        </w:rPr>
        <w:t>第十七条</w:t>
      </w:r>
      <w:r>
        <w:rPr>
          <w:szCs w:val="32"/>
        </w:rPr>
        <w:t xml:space="preserve">  </w:t>
      </w:r>
      <w:r>
        <w:rPr>
          <w:szCs w:val="32"/>
        </w:rPr>
        <w:t>市、县人民政府根据本行政区域大气污染防治的需要，可以划定禁止使用高排放非道路移动机械的区域、时间，并向社会公告。</w:t>
      </w:r>
    </w:p>
    <w:p w:rsidR="004E1513" w:rsidRDefault="00504516">
      <w:pPr>
        <w:spacing w:line="600" w:lineRule="exact"/>
        <w:ind w:firstLineChars="200" w:firstLine="628"/>
        <w:rPr>
          <w:szCs w:val="32"/>
        </w:rPr>
      </w:pPr>
      <w:r>
        <w:rPr>
          <w:szCs w:val="32"/>
        </w:rPr>
        <w:t>除应急抢险救灾外，在禁止区域、时间内使用高排放非道路移动机械的，由生态环境等主管部门按各自职责责令改正，处五千元以上五万元以下的罚款。</w:t>
      </w:r>
    </w:p>
    <w:p w:rsidR="004E1513" w:rsidRDefault="00504516">
      <w:pPr>
        <w:spacing w:line="600" w:lineRule="exact"/>
        <w:ind w:firstLineChars="200" w:firstLine="628"/>
        <w:rPr>
          <w:szCs w:val="32"/>
        </w:rPr>
      </w:pPr>
      <w:r>
        <w:rPr>
          <w:rFonts w:eastAsia="黑体"/>
          <w:szCs w:val="32"/>
        </w:rPr>
        <w:t>第十八条</w:t>
      </w:r>
      <w:r>
        <w:rPr>
          <w:szCs w:val="32"/>
        </w:rPr>
        <w:t xml:space="preserve">  </w:t>
      </w:r>
      <w:r>
        <w:rPr>
          <w:szCs w:val="32"/>
        </w:rPr>
        <w:t>销售、使用的机动车船和非道路移动机械用燃料、发动机油、氮氧化物还原剂、燃料和润滑油添加剂以及其他添加剂，应当符合国家、省的有关质量标准。</w:t>
      </w:r>
    </w:p>
    <w:p w:rsidR="004E1513" w:rsidRDefault="00504516">
      <w:pPr>
        <w:spacing w:line="600" w:lineRule="exact"/>
        <w:ind w:firstLineChars="200" w:firstLine="628"/>
        <w:rPr>
          <w:szCs w:val="32"/>
        </w:rPr>
      </w:pPr>
      <w:r>
        <w:rPr>
          <w:szCs w:val="32"/>
        </w:rPr>
        <w:t>禁止无证无照销售、私自改装车船运输、私自储存机动车船、非道路移动机械</w:t>
      </w:r>
      <w:r>
        <w:rPr>
          <w:szCs w:val="32"/>
        </w:rPr>
        <w:t>用燃料。</w:t>
      </w:r>
    </w:p>
    <w:p w:rsidR="004E1513" w:rsidRDefault="00504516">
      <w:pPr>
        <w:spacing w:line="600" w:lineRule="exact"/>
        <w:ind w:firstLineChars="200" w:firstLine="628"/>
        <w:rPr>
          <w:szCs w:val="32"/>
        </w:rPr>
      </w:pPr>
      <w:r>
        <w:rPr>
          <w:szCs w:val="32"/>
        </w:rPr>
        <w:t xml:space="preserve">违反第一款或者第二款规定的，由市场监督管理、交通运输等主管部门和公安机关依照有关法律、法规的规定予以行政处罚；构成犯罪的，依法追究刑事责任。　</w:t>
      </w:r>
    </w:p>
    <w:p w:rsidR="004E1513" w:rsidRDefault="00504516">
      <w:pPr>
        <w:spacing w:line="600" w:lineRule="exact"/>
        <w:ind w:firstLineChars="200" w:firstLine="628"/>
        <w:rPr>
          <w:szCs w:val="32"/>
        </w:rPr>
      </w:pPr>
      <w:r>
        <w:rPr>
          <w:rFonts w:eastAsia="黑体"/>
          <w:szCs w:val="32"/>
        </w:rPr>
        <w:lastRenderedPageBreak/>
        <w:t>第十九条</w:t>
      </w:r>
      <w:r>
        <w:rPr>
          <w:szCs w:val="32"/>
        </w:rPr>
        <w:t xml:space="preserve">  </w:t>
      </w:r>
      <w:r>
        <w:rPr>
          <w:szCs w:val="32"/>
        </w:rPr>
        <w:t>建设单位应当对施工扬尘污染防治全面负责，将防治扬尘污染费作为不可竞争费列入工程造价，在施工承包合同中明确施工单位扬尘污染防治责任，并监督施工单位按照合同落实扬尘污染防治措施。</w:t>
      </w:r>
    </w:p>
    <w:p w:rsidR="004E1513" w:rsidRDefault="00504516">
      <w:pPr>
        <w:spacing w:line="600" w:lineRule="exact"/>
        <w:ind w:firstLineChars="200" w:firstLine="628"/>
        <w:rPr>
          <w:szCs w:val="32"/>
        </w:rPr>
      </w:pPr>
      <w:r>
        <w:rPr>
          <w:szCs w:val="32"/>
        </w:rPr>
        <w:t>施工单位应当制定具体的扬尘污染防治方案，建立扬尘污染防治工作台账，落实扬尘污染防治措施。</w:t>
      </w:r>
    </w:p>
    <w:p w:rsidR="004E1513" w:rsidRDefault="00504516">
      <w:pPr>
        <w:spacing w:line="600" w:lineRule="exact"/>
        <w:ind w:firstLineChars="200" w:firstLine="628"/>
        <w:rPr>
          <w:szCs w:val="32"/>
        </w:rPr>
      </w:pPr>
      <w:r>
        <w:rPr>
          <w:szCs w:val="32"/>
        </w:rPr>
        <w:t>监理单位应当将监理扬尘防治情况纳入日常工作。对施工单位未落实扬尘污染防治措施的，应当要求其立即整改；施工单位拒不整改的，监理单位应当责令其暂停施工，并及时向建设单位和行政主管部门报告。</w:t>
      </w:r>
    </w:p>
    <w:p w:rsidR="004E1513" w:rsidRDefault="00504516">
      <w:pPr>
        <w:spacing w:line="600" w:lineRule="exact"/>
        <w:ind w:firstLineChars="200" w:firstLine="628"/>
        <w:rPr>
          <w:szCs w:val="32"/>
        </w:rPr>
      </w:pPr>
      <w:r>
        <w:rPr>
          <w:szCs w:val="32"/>
        </w:rPr>
        <w:t>违反第一款规定的，由住房</w:t>
      </w:r>
      <w:r>
        <w:rPr>
          <w:rFonts w:hint="eastAsia"/>
          <w:szCs w:val="32"/>
        </w:rPr>
        <w:t>和</w:t>
      </w:r>
      <w:r>
        <w:rPr>
          <w:szCs w:val="32"/>
        </w:rPr>
        <w:t>城乡建设等主管部门按各自职责依法依规处理。</w:t>
      </w:r>
    </w:p>
    <w:p w:rsidR="004E1513" w:rsidRDefault="00504516">
      <w:pPr>
        <w:spacing w:line="600" w:lineRule="exact"/>
        <w:ind w:firstLineChars="200" w:firstLine="628"/>
        <w:rPr>
          <w:szCs w:val="32"/>
        </w:rPr>
      </w:pPr>
      <w:r>
        <w:rPr>
          <w:rFonts w:eastAsia="黑体"/>
          <w:szCs w:val="32"/>
        </w:rPr>
        <w:t>第二十条</w:t>
      </w:r>
      <w:r>
        <w:rPr>
          <w:szCs w:val="32"/>
        </w:rPr>
        <w:t xml:space="preserve">  </w:t>
      </w:r>
      <w:r>
        <w:rPr>
          <w:szCs w:val="32"/>
        </w:rPr>
        <w:t>运输煤炭、垃圾、渣土、砂石、土方、灰浆、混凝土等散装、流体物料的车辆，应当采取密闭或者其他措施防止物料遗撒，并按照规定时间和路线行驶。</w:t>
      </w:r>
    </w:p>
    <w:p w:rsidR="004E1513" w:rsidRDefault="00504516">
      <w:pPr>
        <w:spacing w:line="600" w:lineRule="exact"/>
        <w:ind w:firstLineChars="200" w:firstLine="628"/>
        <w:rPr>
          <w:szCs w:val="32"/>
        </w:rPr>
      </w:pPr>
      <w:r>
        <w:rPr>
          <w:szCs w:val="32"/>
        </w:rPr>
        <w:t>输送、装卸物料应当采取密闭、吸尘、喷淋等方式控制扬尘排放。</w:t>
      </w:r>
    </w:p>
    <w:p w:rsidR="004E1513" w:rsidRDefault="00504516">
      <w:pPr>
        <w:spacing w:line="600" w:lineRule="exact"/>
        <w:ind w:firstLineChars="200" w:firstLine="628"/>
        <w:rPr>
          <w:szCs w:val="32"/>
        </w:rPr>
      </w:pPr>
      <w:r>
        <w:rPr>
          <w:szCs w:val="32"/>
        </w:rPr>
        <w:t>道路、广场、停车场和其他公共区域应当推行清洁动力</w:t>
      </w:r>
      <w:r>
        <w:rPr>
          <w:szCs w:val="32"/>
        </w:rPr>
        <w:t>机械化清扫，增加水洗冲刷频次。</w:t>
      </w:r>
    </w:p>
    <w:p w:rsidR="004E1513" w:rsidRDefault="00504516">
      <w:pPr>
        <w:spacing w:line="600" w:lineRule="exact"/>
        <w:ind w:firstLineChars="200" w:firstLine="628"/>
        <w:rPr>
          <w:szCs w:val="32"/>
        </w:rPr>
      </w:pPr>
      <w:r>
        <w:rPr>
          <w:szCs w:val="32"/>
        </w:rPr>
        <w:t>违反第一款规定，未采取密闭或者其他措施防止物料遗撒的，由交通运输主管部门、综合行政执法部门按各自职责责令改正，</w:t>
      </w:r>
      <w:r>
        <w:rPr>
          <w:szCs w:val="32"/>
        </w:rPr>
        <w:lastRenderedPageBreak/>
        <w:t>处二千元以上二万元以下的罚款；拒不改正的，车辆不得</w:t>
      </w:r>
      <w:proofErr w:type="gramStart"/>
      <w:r>
        <w:rPr>
          <w:szCs w:val="32"/>
        </w:rPr>
        <w:t>上道路</w:t>
      </w:r>
      <w:proofErr w:type="gramEnd"/>
      <w:r>
        <w:rPr>
          <w:szCs w:val="32"/>
        </w:rPr>
        <w:t>行驶。</w:t>
      </w:r>
    </w:p>
    <w:p w:rsidR="004E1513" w:rsidRDefault="00504516">
      <w:pPr>
        <w:spacing w:line="600" w:lineRule="exact"/>
        <w:ind w:firstLineChars="200" w:firstLine="628"/>
        <w:rPr>
          <w:szCs w:val="32"/>
        </w:rPr>
      </w:pPr>
      <w:r>
        <w:rPr>
          <w:szCs w:val="32"/>
        </w:rPr>
        <w:t>违反第二款规定的，由生态环境等主管部门按各自职责责令改正，处一万元以上十万元以下的罚款；拒不改正的，责令停工整治或者停业整治。</w:t>
      </w:r>
    </w:p>
    <w:p w:rsidR="004E1513" w:rsidRDefault="00504516">
      <w:pPr>
        <w:spacing w:line="600" w:lineRule="exact"/>
        <w:ind w:firstLineChars="200" w:firstLine="628"/>
        <w:rPr>
          <w:szCs w:val="32"/>
        </w:rPr>
      </w:pPr>
      <w:r>
        <w:rPr>
          <w:rFonts w:eastAsia="黑体"/>
          <w:szCs w:val="32"/>
        </w:rPr>
        <w:t>第二十一条</w:t>
      </w:r>
      <w:r>
        <w:rPr>
          <w:szCs w:val="32"/>
        </w:rPr>
        <w:t xml:space="preserve">  </w:t>
      </w:r>
      <w:r>
        <w:rPr>
          <w:szCs w:val="32"/>
        </w:rPr>
        <w:t>贮存煤炭、煤矸石、煤渣、煤灰、水泥、石灰、石膏、砂土、石粉等易产生扬尘的物料应当密闭；不能密闭的，应当设置不低于堆放</w:t>
      </w:r>
      <w:proofErr w:type="gramStart"/>
      <w:r>
        <w:rPr>
          <w:szCs w:val="32"/>
        </w:rPr>
        <w:t>物高度</w:t>
      </w:r>
      <w:proofErr w:type="gramEnd"/>
      <w:r>
        <w:rPr>
          <w:szCs w:val="32"/>
        </w:rPr>
        <w:t>的严密围挡，并采取防风</w:t>
      </w:r>
      <w:proofErr w:type="gramStart"/>
      <w:r>
        <w:rPr>
          <w:szCs w:val="32"/>
        </w:rPr>
        <w:t>抑</w:t>
      </w:r>
      <w:proofErr w:type="gramEnd"/>
      <w:r>
        <w:rPr>
          <w:szCs w:val="32"/>
        </w:rPr>
        <w:t>尘网、地面硬化、遮盖、喷淋、冲洗等有效覆盖措施防治扬尘污染。</w:t>
      </w:r>
    </w:p>
    <w:p w:rsidR="004E1513" w:rsidRDefault="00504516">
      <w:pPr>
        <w:spacing w:line="600" w:lineRule="exact"/>
        <w:ind w:firstLineChars="200" w:firstLine="628"/>
        <w:rPr>
          <w:szCs w:val="32"/>
        </w:rPr>
      </w:pPr>
      <w:r>
        <w:rPr>
          <w:szCs w:val="32"/>
        </w:rPr>
        <w:t>违反前款规定的，由交通运输、生态环境等主管部门按各自职责责令改正，处一万元以上十万元以下的罚款；拒不改正的，责令停工整治或者停业整治。</w:t>
      </w:r>
    </w:p>
    <w:p w:rsidR="004E1513" w:rsidRDefault="00504516">
      <w:pPr>
        <w:spacing w:line="600" w:lineRule="exact"/>
        <w:ind w:firstLineChars="200" w:firstLine="628"/>
        <w:rPr>
          <w:szCs w:val="32"/>
        </w:rPr>
      </w:pPr>
      <w:r>
        <w:rPr>
          <w:rFonts w:eastAsia="黑体"/>
          <w:szCs w:val="32"/>
        </w:rPr>
        <w:t>第二十二条</w:t>
      </w:r>
      <w:r>
        <w:rPr>
          <w:rFonts w:eastAsia="黑体"/>
          <w:szCs w:val="32"/>
        </w:rPr>
        <w:t xml:space="preserve">  </w:t>
      </w:r>
      <w:r>
        <w:rPr>
          <w:szCs w:val="32"/>
        </w:rPr>
        <w:t>禁止在下列区域或者场所新建、改建、扩建产生油烟、异味、废气的餐饮服务项目：</w:t>
      </w:r>
    </w:p>
    <w:p w:rsidR="004E1513" w:rsidRDefault="00504516">
      <w:pPr>
        <w:spacing w:line="600" w:lineRule="exact"/>
        <w:ind w:firstLineChars="200" w:firstLine="628"/>
        <w:rPr>
          <w:szCs w:val="32"/>
        </w:rPr>
      </w:pPr>
      <w:r>
        <w:rPr>
          <w:szCs w:val="32"/>
        </w:rPr>
        <w:t>（一）居民住宅楼；</w:t>
      </w:r>
    </w:p>
    <w:p w:rsidR="004E1513" w:rsidRDefault="00504516">
      <w:pPr>
        <w:spacing w:line="600" w:lineRule="exact"/>
        <w:ind w:firstLineChars="200" w:firstLine="628"/>
        <w:rPr>
          <w:szCs w:val="32"/>
        </w:rPr>
      </w:pPr>
      <w:r>
        <w:rPr>
          <w:szCs w:val="32"/>
        </w:rPr>
        <w:t>（二）未配套设立专用烟道的商住综合楼；</w:t>
      </w:r>
    </w:p>
    <w:p w:rsidR="004E1513" w:rsidRDefault="00504516">
      <w:pPr>
        <w:spacing w:line="600" w:lineRule="exact"/>
        <w:ind w:firstLineChars="200" w:firstLine="628"/>
        <w:rPr>
          <w:szCs w:val="32"/>
        </w:rPr>
      </w:pPr>
      <w:r>
        <w:rPr>
          <w:szCs w:val="32"/>
        </w:rPr>
        <w:t>（三）商住综合</w:t>
      </w:r>
      <w:r>
        <w:rPr>
          <w:szCs w:val="32"/>
        </w:rPr>
        <w:t>楼内与居住层相邻的商业楼层；</w:t>
      </w:r>
      <w:r>
        <w:rPr>
          <w:szCs w:val="32"/>
        </w:rPr>
        <w:t xml:space="preserve"> </w:t>
      </w:r>
    </w:p>
    <w:p w:rsidR="004E1513" w:rsidRDefault="00504516">
      <w:pPr>
        <w:spacing w:line="600" w:lineRule="exact"/>
        <w:ind w:firstLineChars="200" w:firstLine="628"/>
        <w:rPr>
          <w:szCs w:val="32"/>
        </w:rPr>
      </w:pPr>
      <w:r>
        <w:rPr>
          <w:szCs w:val="32"/>
        </w:rPr>
        <w:t>（四）法律、法规规定的其他区域或者场所。</w:t>
      </w:r>
    </w:p>
    <w:p w:rsidR="004E1513" w:rsidRDefault="00504516">
      <w:pPr>
        <w:spacing w:line="600" w:lineRule="exact"/>
        <w:ind w:firstLineChars="200" w:firstLine="628"/>
        <w:rPr>
          <w:szCs w:val="32"/>
        </w:rPr>
      </w:pPr>
      <w:r>
        <w:rPr>
          <w:szCs w:val="32"/>
        </w:rPr>
        <w:t>第一款规定的区域、场所的相关所有人、管理人应当告知承租人、承借人不得用于新建、改建、扩建产生油烟、异味、废气的餐饮服务项目。</w:t>
      </w:r>
    </w:p>
    <w:p w:rsidR="004E1513" w:rsidRDefault="00504516">
      <w:pPr>
        <w:spacing w:line="600" w:lineRule="exact"/>
        <w:ind w:firstLineChars="200" w:firstLine="628"/>
        <w:rPr>
          <w:szCs w:val="32"/>
        </w:rPr>
      </w:pPr>
      <w:r>
        <w:rPr>
          <w:szCs w:val="32"/>
        </w:rPr>
        <w:lastRenderedPageBreak/>
        <w:t>市场监督管理主管部门在申请人办理餐饮服务项目营业执照时，应当告知第一款规定的区域、场所禁止情形。申请人认为符合有关规定的，应当</w:t>
      </w:r>
      <w:proofErr w:type="gramStart"/>
      <w:r>
        <w:rPr>
          <w:szCs w:val="32"/>
        </w:rPr>
        <w:t>作出</w:t>
      </w:r>
      <w:proofErr w:type="gramEnd"/>
      <w:r>
        <w:rPr>
          <w:szCs w:val="32"/>
        </w:rPr>
        <w:t>书面承诺。</w:t>
      </w:r>
    </w:p>
    <w:p w:rsidR="004E1513" w:rsidRDefault="00504516">
      <w:pPr>
        <w:spacing w:line="600" w:lineRule="exact"/>
        <w:ind w:firstLineChars="200" w:firstLine="628"/>
        <w:rPr>
          <w:szCs w:val="32"/>
        </w:rPr>
      </w:pPr>
      <w:r>
        <w:rPr>
          <w:rFonts w:eastAsia="黑体"/>
          <w:szCs w:val="32"/>
        </w:rPr>
        <w:t>第二十三条</w:t>
      </w:r>
      <w:r>
        <w:rPr>
          <w:szCs w:val="32"/>
        </w:rPr>
        <w:t xml:space="preserve">  </w:t>
      </w:r>
      <w:r>
        <w:rPr>
          <w:szCs w:val="32"/>
        </w:rPr>
        <w:t>在未配套设立专用烟道的商住综合楼内产生油烟、异味、废气的已建餐饮服务项目，应当加装专用烟道。无法加装专用烟道的，由市人民政府确定的监督管理部门责令限期搬迁。</w:t>
      </w:r>
    </w:p>
    <w:p w:rsidR="004E1513" w:rsidRDefault="00504516">
      <w:pPr>
        <w:spacing w:line="600" w:lineRule="exact"/>
        <w:ind w:firstLineChars="200" w:firstLine="628"/>
        <w:rPr>
          <w:szCs w:val="32"/>
        </w:rPr>
      </w:pPr>
      <w:r>
        <w:rPr>
          <w:szCs w:val="32"/>
        </w:rPr>
        <w:t>加装专用烟道的具体办法由市人民政府制定并公布。</w:t>
      </w:r>
    </w:p>
    <w:p w:rsidR="004E1513" w:rsidRDefault="00504516">
      <w:pPr>
        <w:spacing w:line="600" w:lineRule="exact"/>
        <w:ind w:firstLineChars="200" w:firstLine="628"/>
        <w:rPr>
          <w:szCs w:val="32"/>
        </w:rPr>
      </w:pPr>
      <w:r>
        <w:rPr>
          <w:rFonts w:eastAsia="黑体"/>
          <w:szCs w:val="32"/>
        </w:rPr>
        <w:t>第二十四条</w:t>
      </w:r>
      <w:r>
        <w:rPr>
          <w:szCs w:val="32"/>
        </w:rPr>
        <w:t xml:space="preserve">  </w:t>
      </w:r>
      <w:r>
        <w:rPr>
          <w:szCs w:val="32"/>
        </w:rPr>
        <w:t>排放油烟的餐饮服务经营者应当对所安装的油烟净化设施定期进行清洗维护，保持其正常使用，使油烟达标排放。</w:t>
      </w:r>
    </w:p>
    <w:p w:rsidR="004E1513" w:rsidRDefault="00504516">
      <w:pPr>
        <w:spacing w:line="600" w:lineRule="exact"/>
        <w:ind w:firstLineChars="200" w:firstLine="628"/>
        <w:rPr>
          <w:szCs w:val="32"/>
        </w:rPr>
      </w:pPr>
      <w:r>
        <w:rPr>
          <w:szCs w:val="32"/>
        </w:rPr>
        <w:t>违反前款规定的，由市人民政府确定的监督管理部门责令改正，处五千元以上五万元以下的罚款；拒不改正的，责令停业整治。</w:t>
      </w:r>
    </w:p>
    <w:p w:rsidR="004E1513" w:rsidRDefault="00504516">
      <w:pPr>
        <w:spacing w:line="600" w:lineRule="exact"/>
        <w:ind w:firstLineChars="200" w:firstLine="628"/>
        <w:rPr>
          <w:szCs w:val="32"/>
        </w:rPr>
      </w:pPr>
      <w:r>
        <w:rPr>
          <w:rFonts w:eastAsia="黑体"/>
          <w:szCs w:val="32"/>
        </w:rPr>
        <w:t>第二十五条</w:t>
      </w:r>
      <w:r>
        <w:rPr>
          <w:szCs w:val="32"/>
        </w:rPr>
        <w:t xml:space="preserve">  </w:t>
      </w:r>
      <w:r>
        <w:rPr>
          <w:szCs w:val="32"/>
        </w:rPr>
        <w:t>违反本规定的行为，法律、行政法规和省的地方性法规已有法律责任规定的，从其规定。</w:t>
      </w:r>
    </w:p>
    <w:p w:rsidR="004E1513" w:rsidRDefault="00504516">
      <w:pPr>
        <w:spacing w:line="600" w:lineRule="exact"/>
        <w:ind w:firstLineChars="200" w:firstLine="628"/>
        <w:rPr>
          <w:szCs w:val="32"/>
        </w:rPr>
      </w:pPr>
      <w:r>
        <w:rPr>
          <w:rFonts w:eastAsia="黑体"/>
          <w:szCs w:val="32"/>
        </w:rPr>
        <w:t>第二十六条</w:t>
      </w:r>
      <w:r>
        <w:rPr>
          <w:szCs w:val="32"/>
        </w:rPr>
        <w:t xml:space="preserve">  </w:t>
      </w:r>
      <w:r>
        <w:rPr>
          <w:szCs w:val="32"/>
        </w:rPr>
        <w:t>负有大气污染防治监督管理职责的部门及其工作人员违反本规定，滥用职权、徇私舞弊、玩忽职守的，由有权机关按照管理权限对直接负责的</w:t>
      </w:r>
      <w:r>
        <w:rPr>
          <w:szCs w:val="32"/>
        </w:rPr>
        <w:t>主管人员和其他直接责任人员，依法给予处分。</w:t>
      </w:r>
    </w:p>
    <w:p w:rsidR="004E1513" w:rsidRDefault="00504516">
      <w:pPr>
        <w:spacing w:line="600" w:lineRule="exact"/>
        <w:ind w:firstLineChars="200" w:firstLine="628"/>
        <w:rPr>
          <w:szCs w:val="32"/>
        </w:rPr>
      </w:pPr>
      <w:r>
        <w:rPr>
          <w:rFonts w:eastAsia="黑体"/>
          <w:szCs w:val="32"/>
        </w:rPr>
        <w:t>第二十七条</w:t>
      </w:r>
      <w:r>
        <w:rPr>
          <w:szCs w:val="32"/>
        </w:rPr>
        <w:t xml:space="preserve">  </w:t>
      </w:r>
      <w:r>
        <w:rPr>
          <w:szCs w:val="32"/>
        </w:rPr>
        <w:t>本规定自</w:t>
      </w:r>
      <w:r>
        <w:rPr>
          <w:rFonts w:ascii="仿宋_GB2312" w:hAnsi="仿宋_GB2312" w:cs="仿宋_GB2312" w:hint="eastAsia"/>
          <w:szCs w:val="32"/>
        </w:rPr>
        <w:t>2020</w:t>
      </w:r>
      <w:r>
        <w:rPr>
          <w:rFonts w:ascii="仿宋_GB2312" w:hAnsi="仿宋_GB2312" w:cs="仿宋_GB2312" w:hint="eastAsia"/>
          <w:szCs w:val="32"/>
        </w:rPr>
        <w:t>年</w:t>
      </w:r>
      <w:r>
        <w:rPr>
          <w:rFonts w:ascii="仿宋_GB2312" w:hAnsi="仿宋_GB2312" w:cs="仿宋_GB2312" w:hint="eastAsia"/>
          <w:szCs w:val="32"/>
        </w:rPr>
        <w:t>4</w:t>
      </w:r>
      <w:r>
        <w:rPr>
          <w:rFonts w:ascii="仿宋_GB2312" w:hAnsi="仿宋_GB2312" w:cs="仿宋_GB2312" w:hint="eastAsia"/>
          <w:szCs w:val="32"/>
        </w:rPr>
        <w:t>月</w:t>
      </w:r>
      <w:r>
        <w:rPr>
          <w:rFonts w:ascii="仿宋_GB2312" w:hAnsi="仿宋_GB2312" w:cs="仿宋_GB2312" w:hint="eastAsia"/>
          <w:szCs w:val="32"/>
        </w:rPr>
        <w:t>1</w:t>
      </w:r>
      <w:r>
        <w:rPr>
          <w:szCs w:val="32"/>
        </w:rPr>
        <w:t>日起施行。</w:t>
      </w:r>
    </w:p>
    <w:sectPr w:rsidR="004E1513">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516" w:rsidRDefault="00504516">
      <w:pPr>
        <w:spacing w:line="240" w:lineRule="auto"/>
      </w:pPr>
      <w:r>
        <w:separator/>
      </w:r>
    </w:p>
  </w:endnote>
  <w:endnote w:type="continuationSeparator" w:id="0">
    <w:p w:rsidR="00504516" w:rsidRDefault="00504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小标宋简体">
    <w:altName w:val="Arial Unicode MS"/>
    <w:charset w:val="86"/>
    <w:family w:val="script"/>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13" w:rsidRDefault="00504516">
    <w:pPr>
      <w:pStyle w:val="a4"/>
      <w:spacing w:line="471" w:lineRule="auto"/>
      <w:ind w:leftChars="100" w:left="308"/>
      <w:jc w:val="left"/>
      <w:rPr>
        <w:rStyle w:val="a7"/>
        <w:rFonts w:ascii="宋体" w:eastAsia="宋体" w:hAnsi="宋体"/>
        <w:sz w:val="28"/>
      </w:rPr>
    </w:pPr>
    <w:r>
      <w:rPr>
        <w:rStyle w:val="a7"/>
        <w:rFonts w:ascii="宋体" w:eastAsia="宋体" w:hAnsi="宋体" w:hint="eastAsia"/>
        <w:sz w:val="28"/>
      </w:rPr>
      <w:t>—</w:t>
    </w:r>
    <w:r>
      <w:rPr>
        <w:rStyle w:val="a7"/>
        <w:rFonts w:ascii="宋体" w:eastAsia="宋体" w:hAnsi="宋体" w:hint="eastAsia"/>
        <w:sz w:val="28"/>
      </w:rPr>
      <w:t xml:space="preserve"> </w:t>
    </w:r>
    <w:r>
      <w:rPr>
        <w:rFonts w:ascii="宋体" w:eastAsia="宋体" w:hAnsi="宋体" w:hint="eastAsia"/>
        <w:sz w:val="28"/>
      </w:rPr>
      <w:fldChar w:fldCharType="begin"/>
    </w:r>
    <w:r>
      <w:rPr>
        <w:rStyle w:val="a7"/>
        <w:rFonts w:ascii="宋体" w:eastAsia="宋体" w:hAnsi="宋体" w:hint="eastAsia"/>
        <w:sz w:val="28"/>
      </w:rPr>
      <w:instrText xml:space="preserve"> PAGE </w:instrText>
    </w:r>
    <w:r>
      <w:rPr>
        <w:rFonts w:ascii="宋体" w:eastAsia="宋体" w:hAnsi="宋体" w:hint="eastAsia"/>
        <w:sz w:val="28"/>
      </w:rPr>
      <w:fldChar w:fldCharType="separate"/>
    </w:r>
    <w:r w:rsidR="002F12AC">
      <w:rPr>
        <w:rStyle w:val="a7"/>
        <w:rFonts w:ascii="宋体" w:eastAsia="宋体" w:hAnsi="宋体"/>
        <w:noProof/>
        <w:sz w:val="28"/>
      </w:rPr>
      <w:t>2</w:t>
    </w:r>
    <w:r>
      <w:rPr>
        <w:rFonts w:ascii="宋体" w:eastAsia="宋体" w:hAnsi="宋体" w:hint="eastAsia"/>
        <w:sz w:val="28"/>
      </w:rPr>
      <w:fldChar w:fldCharType="end"/>
    </w:r>
    <w:r>
      <w:rPr>
        <w:rStyle w:val="a7"/>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13" w:rsidRDefault="00504516">
    <w:pPr>
      <w:pStyle w:val="a4"/>
      <w:wordWrap w:val="0"/>
      <w:spacing w:line="478" w:lineRule="auto"/>
      <w:ind w:rightChars="100" w:right="308"/>
      <w:jc w:val="right"/>
      <w:rPr>
        <w:rFonts w:ascii="楷体_GB2312" w:eastAsia="楷体_GB2312"/>
        <w:sz w:val="28"/>
      </w:rPr>
    </w:pPr>
    <w:r>
      <w:rPr>
        <w:rStyle w:val="a7"/>
        <w:rFonts w:ascii="宋体" w:eastAsia="宋体" w:hAnsi="宋体" w:hint="eastAsia"/>
        <w:sz w:val="28"/>
      </w:rPr>
      <w:t>—</w:t>
    </w:r>
    <w:r>
      <w:rPr>
        <w:rStyle w:val="a7"/>
        <w:rFonts w:ascii="宋体" w:eastAsia="宋体" w:hAnsi="宋体" w:hint="eastAsia"/>
        <w:sz w:val="28"/>
      </w:rPr>
      <w:t xml:space="preserve"> </w:t>
    </w:r>
    <w:r>
      <w:rPr>
        <w:rFonts w:ascii="宋体" w:eastAsia="宋体" w:hAnsi="宋体" w:cs="宋体" w:hint="eastAsia"/>
        <w:sz w:val="28"/>
        <w:szCs w:val="28"/>
      </w:rPr>
      <w:fldChar w:fldCharType="begin"/>
    </w:r>
    <w:r>
      <w:rPr>
        <w:rStyle w:val="a7"/>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F12AC" w:rsidRPr="002F12AC">
      <w:rPr>
        <w:noProof/>
      </w:rPr>
      <w:t>1</w:t>
    </w:r>
    <w:r>
      <w:rPr>
        <w:rFonts w:ascii="宋体" w:eastAsia="宋体" w:hAnsi="宋体" w:cs="宋体" w:hint="eastAsia"/>
        <w:sz w:val="28"/>
        <w:szCs w:val="28"/>
      </w:rPr>
      <w:fldChar w:fldCharType="end"/>
    </w:r>
    <w:r>
      <w:rPr>
        <w:rStyle w:val="a7"/>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516" w:rsidRDefault="00504516">
      <w:pPr>
        <w:spacing w:line="240" w:lineRule="auto"/>
      </w:pPr>
      <w:r>
        <w:separator/>
      </w:r>
    </w:p>
  </w:footnote>
  <w:footnote w:type="continuationSeparator" w:id="0">
    <w:p w:rsidR="00504516" w:rsidRDefault="005045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F12AC"/>
    <w:rsid w:val="004E1513"/>
    <w:rsid w:val="00504516"/>
    <w:rsid w:val="007E7972"/>
    <w:rsid w:val="00821AE1"/>
    <w:rsid w:val="00A0649E"/>
    <w:rsid w:val="00C26BE1"/>
    <w:rsid w:val="00C74922"/>
    <w:rsid w:val="00D0346C"/>
    <w:rsid w:val="00D57722"/>
    <w:rsid w:val="00FB343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096217"/>
    <w:rsid w:val="354A33CA"/>
    <w:rsid w:val="358715AE"/>
    <w:rsid w:val="35B900CE"/>
    <w:rsid w:val="35FB48BB"/>
    <w:rsid w:val="36B701C2"/>
    <w:rsid w:val="36D652E4"/>
    <w:rsid w:val="37714A2D"/>
    <w:rsid w:val="37C10485"/>
    <w:rsid w:val="38234CA6"/>
    <w:rsid w:val="385200EE"/>
    <w:rsid w:val="38575903"/>
    <w:rsid w:val="38604F16"/>
    <w:rsid w:val="388A4509"/>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ED43333"/>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6D718B"/>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08A3E72"/>
    <w:rsid w:val="61221544"/>
    <w:rsid w:val="614A2483"/>
    <w:rsid w:val="61A86256"/>
    <w:rsid w:val="624145FF"/>
    <w:rsid w:val="62B875B1"/>
    <w:rsid w:val="62CB16FB"/>
    <w:rsid w:val="62EB05B2"/>
    <w:rsid w:val="633A04D8"/>
    <w:rsid w:val="63886FFF"/>
    <w:rsid w:val="63B1467B"/>
    <w:rsid w:val="63BD4E60"/>
    <w:rsid w:val="63D60BB3"/>
    <w:rsid w:val="63E47526"/>
    <w:rsid w:val="6429446D"/>
    <w:rsid w:val="642C60B8"/>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743F69"/>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styleId="a6">
    <w:name w:val="Normal (Web)"/>
    <w:basedOn w:val="a0"/>
    <w:qFormat/>
    <w:pPr>
      <w:widowControl/>
      <w:spacing w:before="100" w:beforeAutospacing="1" w:after="100" w:afterAutospacing="1"/>
      <w:jc w:val="left"/>
    </w:pPr>
    <w:rPr>
      <w:rFonts w:ascii="宋体" w:hAnsi="宋体" w:cs="宋体"/>
      <w:kern w:val="0"/>
      <w:sz w:val="24"/>
    </w:rPr>
  </w:style>
  <w:style w:type="character" w:styleId="a7">
    <w:name w:val="page number"/>
    <w:basedOn w:val="a1"/>
    <w:qFormat/>
  </w:style>
  <w:style w:type="character" w:styleId="a8">
    <w:name w:val="FollowedHyperlink"/>
    <w:basedOn w:val="a1"/>
    <w:qFormat/>
    <w:rPr>
      <w:color w:val="800080"/>
      <w:sz w:val="18"/>
      <w:szCs w:val="18"/>
      <w:u w:val="none"/>
    </w:rPr>
  </w:style>
  <w:style w:type="character" w:styleId="a9">
    <w:name w:val="line number"/>
    <w:basedOn w:val="a1"/>
    <w:qFormat/>
  </w:style>
  <w:style w:type="character" w:styleId="aa">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625</Words>
  <Characters>3566</Characters>
  <Application>Microsoft Office Word</Application>
  <DocSecurity>0</DocSecurity>
  <Lines>29</Lines>
  <Paragraphs>8</Paragraphs>
  <ScaleCrop>false</ScaleCrop>
  <Company>Microsoft</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2020-04-21T01:00:00Z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公文模板版本">
    <vt:lpwstr>20160721</vt:lpwstr>
  </property>
</Properties>
</file>