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漳州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漳州市人民代表大会及其常务委员会立法条例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（2016年1月21日漳州市第十五届人民代表大会第五次会议通过　2016年4月1日福建省第十二届人民代表大会常务委员会第二十二次会议批准　根据2025年1月9日漳州市第十七届人民代表大会第五次会议《关于修改〈漳州市人民代表大会及其常务委员会立法条例〉的决定》修正　2025年3月25日福建省第十四届人民代表大会常务委员会第十五次会议批准）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立法规划和年度立法计划的编制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法规案的提出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市人民代表大会审议表决法规程序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市人民代表大会常务委员会审议表决法规程序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法规的解释、修改与废止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规章备案审查程序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地方立法质量和效率，发挥立法的引领和推动作用，全面推进依法治市，建设法治漳州，根据《中华人民共和国立法法》、《中华人民共和国地方各级人民代表大会和地方各级人民政府组织法》、《福建省人民代表大会及其常务委员会立法条例》等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市人民代表大会及其常务委员会制定、修改、废止和解释地方性法规，审查市人民政府报请备案的规章，适用本条例。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漳州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地方立法应当严格遵循立法法规定的各项基本原则，坚持科学立法、民主立法、依法立法，坚持和发展全过程人民民主，坚持法治和德治相结合，坚持在法治下推进改革和在改革中完善法治相统一。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从本行政区域的具体情况和实际需要出发，适应经济社会发展和全面深化改革的要求，突出问题导向，体现地方特色，内容明确具体，具有针对性和可执行性，不得同宪法、法律、行政法规和本省的省级地方性法规相抵触。对上位法已经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涉及本市特别重大事项以及规范市人民代表大会自身活动的事项等，需要制定地方性法规的，由市人民代表大会制定；其他事项，由常务委员会制定。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在市人民代表大会闭会期间，常务委员会可以对市人民代表大会制定的地方性法规进行部分补充或者修改，但是不得同该地方性法规的基本原则相抵触。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市人民代表大会及其常务委员会应当完善立法机制，加强对地方立法工作的组织协调和统筹安排，发挥在地方立法工作中的主导作用。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立法规划和年度立法计划的编制"/>
      <w:bookmarkEnd w:id="10"/>
      <w:r>
        <w:rPr>
          <w:rFonts w:ascii="Times New Roman" w:eastAsia="黑体" w:hAnsi="Times New Roman" w:cs="黑体" w:hint="eastAsia"/>
          <w:szCs w:val="32"/>
        </w:rPr>
        <w:t>第二章　立法规划和年度立法计划的编制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常务委员会应当通过编制立法规划、年度立法计划等形式，加强对立法工作的统筹安排。通过制定、修改、废止、解释地方性法规等多种形式，增强立法的系统性、整体性、协同性、时效性。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编制立法规划和年度立法计划，应当认真研究代表议案和建议，广泛征集意见，科学论证评估，根据经济社会发展和民主法治建设的需要，确定立法项目。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国家机关、社会团体、企业事业组织以及公民可以向市人民代表大会及其常务委员会提出立法建议。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申请列入年度立法计划的立法建议项目，提出项目的单位应当提交立项申请报告。立项申请报告应当对立法的必要性、可行性、需要解决的问题和拟确立的主要制度作出说明，并附上法规草案文本。</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应当会同有关专门委员会、常务委员会有关工作机构、市人民政府司法行政部门，在广泛征求社会各界意见的基础上对立项申请报告进行审查，编制立法规划和年度立法计划，必要时，应当进行立项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立法规划和年度立法计划由主任会议通过，印发常务委员会会议，并向社会公布。立法规划应当在新一届常务委员会产生后六个月内编制完成，年度立法计划一般在上一年度末编制完成。</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常务委员会有关工作机构应当根据年度立法计划向起草单位发送立项通知书，明确法规需要重点解决的问题和拟提请常务委员会会议第一次审议的时间，督促落实年度立法计划。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市人民政府拟提请常务委员会会议审议的法规案应当与常务委员会年度立法计划相衔接。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实施过程中，新增提请审议的立法项目，应当依照本条例第九条的规定提出立项申请，由法制工作委员会审查，报请主任会议决定；未提请审议的立法项目，提案人或者起草单位应当报请主任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法规草案的起草"/>
      <w:bookmarkEnd w:id="16"/>
      <w:r>
        <w:rPr>
          <w:rFonts w:ascii="Times New Roman" w:eastAsia="黑体" w:hAnsi="Times New Roman" w:cs="黑体" w:hint="eastAsia"/>
          <w:szCs w:val="32"/>
        </w:rPr>
        <w:t>第三章　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向市人民代表大会或者常务委员会提出法规案，由提案人组织起草法规草案。专门委员会、常务委员会有关工作机构应当提前参与有关方面的法规草案起草工作，参与论证，提出意见。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专门委员会或者常务委员会有关工作机构组织起草。专业性较强的法规草案，可以邀请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法规草案的起草实行工作责任制。起草单位应当按照立法计划规定时限完成法规草案的起草任务。不能按时完成的，应当向主任会议作出书面报告。</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起草法规草案应当注重调查研究，广泛征求社会各界意见。设定行政强制、行政处罚、行政许可、行政收费以及其他涉及社会公众切身利益等内容的，应当通过论证会、听证会等方式公开听取意见。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法规案的提出"/>
      <w:bookmarkEnd w:id="20"/>
      <w:r>
        <w:rPr>
          <w:rFonts w:ascii="Times New Roman" w:eastAsia="黑体" w:hAnsi="Times New Roman" w:cs="黑体" w:hint="eastAsia"/>
          <w:szCs w:val="32"/>
        </w:rPr>
        <w:t>第四章　法规案的提出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市人民代表大会常务委员会、市人民政府、市人民代表大会专门委员会，可以向市人民代表大会提出法规案，由主席团决定列入会议议程。</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十名以上的市人民代表大会代表联名，可以向市人民代表大会提出法规案，由主席团决定是否列入会议议程，或者先交有关的专门委员会审议、提出是否列入会议议程的意见，再决定是否列入会议议程。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常务委员会提出法规案，由主任会议决定列入常务委员会会议议程，也可以先交有关的专门委员会审议或者常务委员会有关工作机构审查、提出报告，再决定列入常务委员会会议议程。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也可以先交有关的专门委员会审议或者常务委员会有关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专门委员会审议或者常务委员会有关工作机构审查时，可以邀请提案人列席会议，发表意见。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常务委员会决定提请市人民代表大会会议审议的法规案，应当在会议举行前将法规草案及其说明、有关资料发给代表，并可以适时组织代表研读讨论，征求代表的意见。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列入常务委员会会议议程的法规案，除特殊情况外，应当在会议举行的七日前将法规草案及其说明、有关资料发给常务委员会组成人员。</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提请市人民代表大会会议和常务委员会会议审议的法规案，提案人应当同时提交法规草案文本及其说明，并提供必要的参阅资料。修改法规的，还应当提交修改前后的对照文本。法规草案的说明应当包括制定或者修改法规的必要性、可行性和主要内容，涉及合法性问题的相关意见以及起草过程中对重大分歧意见的协调处理情况。</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市人民代表大会审议表决法规程序"/>
      <w:bookmarkEnd w:id="29"/>
      <w:r>
        <w:rPr>
          <w:rFonts w:ascii="Times New Roman" w:eastAsia="黑体" w:hAnsi="Times New Roman" w:cs="黑体" w:hint="eastAsia"/>
          <w:szCs w:val="32"/>
        </w:rPr>
        <w:t>第五章　市人民代表大会审议表决法规程序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的审议意见，对法规案进行统一审议，向主席团提出审议结果报告和法规草案修改稿，对涉及的合法性问题以及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主席团常务主席也可以就法规案中的重大的专门性问题，召集代表团推荐的有关代表进行讨论，并将讨论的情况和意见向主席团报告。</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交付市人民代表大会全体会议表决未获得通过的法规案，提案人可以按照本条例规定的程序重新提出，由主席团会议决定是否列入会议议程。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市人民代表大会常务委员会审议表决法规程序"/>
      <w:bookmarkEnd w:id="37"/>
      <w:r>
        <w:rPr>
          <w:rFonts w:ascii="Times New Roman" w:eastAsia="黑体" w:hAnsi="Times New Roman" w:cs="黑体" w:hint="eastAsia"/>
          <w:szCs w:val="32"/>
        </w:rPr>
        <w:t>第六章　市人民代表大会常务委员会审议表决法规程序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列入常务委员会会议议程的法规案，一般应当经过三次常务委员会会议审议后再交付表决。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各方面意见比较一致的，可以经两次常务委员会会议审议后交付表决；调整事项较为单一或者修改、废止的法规案，各方面意见比较一致，或者遇有紧急情形的，也可以经一次常务委员会会议审议即交付表决。</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常务委员会会议第一次审议法规案，在全体会议上听取提案人的说明和有关专门委员会审议意见的报告或者常务委员会有关工作机构初步审查的报告，由分组会议进行审议。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分组会议主要就下列问题进行审议：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（一）立法的必要性和可行性；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（二）基本原则与主要制度；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（三）起草说明以及审议意见报告或者初步审查报告中提出的主要问题；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（四）需要研究的其他问题。</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常务委员会会议第二次审议法规案，在全体会议上听取法制委员会关于法规草案修改情况和主要问题的汇报，由分组会议进行审议。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分组会议主要就下列问题进行审议：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（一）修改情况汇报中列举的主要问题；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（二）第一次审议中意见较为集中或者分歧较大的问题；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（三）其他重要问题。</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常务委员会第三次审议法规案时，在全体会议上听取法制委员会关于法规草案审议结果的报告，由分组会议对法规草案修改稿进行审议。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分组会议主要就下列问题进行审议：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（一）审议结果报告中提出的问题；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（二）其他重要问题。</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常务委员会审议法规案时，一般采用分组审议；根据需要，可以召开联组会议或者全体会议，对法规草案中的主要问题或者有争议的问题进行讨论。</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常务委员会分组会议审议法规案时，提案人应当派人听取意见，回答询问；根据小组的要求，有关机关、组织应当派人介绍情况。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常务委员会会议审议法规案时，应当邀请有关的市人民代表大会代表列席会议；必要时，可以邀请常务委员会聘请的立法咨询专家旁听会议。</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前，有关专门委员会、常务委员会有关工作机构应当开展调查研究和论证工作，可以邀请常务委员会组成人员、法制委员会成员、常务委员会其他工作机构的负责人参加会议，发表意见。根据需要，可以要求有关机关、组织负责人说明情况。</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列入常务委员会会议议程的法规案，法制委员会、有关专门委员会和常务委员会有关工作机构应当广泛听取各方面的意见。听取意见可以采取座谈会、论证会和听证会等多种形式。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重大调整的，需要进行听证的，应当召开听证会，听取有关基层和群体代表、部门、人民团体、专家、市人民代表大会代表和社会有关方面的意见，并在举行听证会十五日前将听证会的内容、对象、时间、地点等在漳州人大网或者闽南日报上公告。听证情况应当向常务委员会报告。</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列入常务委员会会议议程的法规案，应当将法规草案在漳州人大网或者本市的报纸上向社会公布，征求意见，但是经主任会议决定不公布的除外。征求意见的时间一般不少于三十日。</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等有关专门委员会和常务委员会有关工作机构应当开展调查研究和论证，广泛征求市人民代表大会代表、县（区）人民代表大会常务委员会和基层立法联系点等各方面的意见，并将有关情况予以反馈。专门委员会、常务委员会有关工作机构开展调查研究和论证工作，应当邀请有关的市人民代表大会代表参加。</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专门委员会、常务委员会有关工作机构和各方面提出的意见，对法规案进行统一审议，提出修改情况的汇报或者审议结果报告和法规草案修改稿，对涉及的合法性问题以及重要的不同意见应当在汇报或者审议结果报告中予以说明。对有关专门委员会、常务委员会有关工作机构的重要意见没有采纳的，应当向有关专门委员会、常务委员会有关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法制委员会审议法规案时，可以邀请有关专门委员会成员、常务委员会有关工作机构的负责人列席会议，发表意见。</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法制委员会与有关专门委员会、常务委员会有关工作机构之间，对法规草案的重要问题意见不一致时，应当向主任会议报告。</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常务委员会组成人员认为仍有重大问题需要进一步研究的，经主任会议决定，可以暂不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法规案暂不付表决的，由主任会议交法制委员会或者有关专门委员会进一步审议。</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交付常务委员会全体会议表决未获得通过的法规案，提案人可以按照本条例规定的程序重新提出，由主任会议决定是否列入会议议程。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规的报批和公布"/>
      <w:bookmarkEnd w:id="56"/>
      <w:r>
        <w:rPr>
          <w:rFonts w:ascii="Times New Roman" w:eastAsia="黑体" w:hAnsi="Times New Roman" w:cs="黑体" w:hint="eastAsia"/>
          <w:szCs w:val="32"/>
        </w:rPr>
        <w:t>第七章　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市人民代表大会及其常务委员会通过的法规，应当自通过之日起十五日内报请省人民代表大会常务委员会批准。</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省人民代表大会常务委员会不予批准的法规，由法制委员会对法规进行修改，经主任会议决定列入常务委员会会议议程，按照本条例第四十三条规定的程序表决通过后，再报请省人民代表大会常务委员会批准。</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已批准的法规，由常务委员会发布公告予以公布。法规公布后，法规文本以及草案的说明、审议结果报告等，应当及时在常务委员会公报和漳州人大网、闽南日报上刊载。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常务委员会公报刊登的法规文本为标准文本。</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法规的解释、修改与废止"/>
      <w:bookmarkEnd w:id="60"/>
      <w:r>
        <w:rPr>
          <w:rFonts w:ascii="Times New Roman" w:eastAsia="黑体" w:hAnsi="Times New Roman" w:cs="黑体" w:hint="eastAsia"/>
          <w:szCs w:val="32"/>
        </w:rPr>
        <w:t>第八章　法规的解释、修改与废止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法规有以下情形之一的，由常务委员会解释：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法规解释同法规具有同等效力。</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市人民政府、市监察委员会、市中级人民法院、市人民检察院、市人民代表大会专门委员会以及县（区）人民代表大会常务委员会可以向市人民代表大会常务委员会书面提出法规解释的要求。</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专门委员会、常务委员会有关工作机构研究拟定法规解释草案，由主任会议提请常务委员会会议审议。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法规解释草案表决稿由常务委员会全体组成人员的过半数通过，应当自通过之日起十五日内报请省人民代表大会常务委员会批准，由常务委员会发布公告予以公布。</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常务委员会法制工作委员会可以对具体问题的法规询问进行研究予以答复，并报常务委员会备案。</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市人民代表大会及其常务委员会应当根据需要适时修改或者废止有关法规。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法规的修改、废止程序，适用本条例第五章、第六章的有关规定。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对现行有效的地方性法规进行清理，可以采取集中修改或者废止的方式，对多部法规一并提出法规修改或者废止案。</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法规草案与其他法规相关规定不一致的，提案人应当予以说明并提出处理意见，必要时应当同时提出修改或者废止其他法规相关规定的议案。法制委员会审议法规案时，认为需要修改或者废止其他法规相关规定的，应当提出处理意见。</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九章 规章备案审查程序"/>
      <w:bookmarkEnd w:id="67"/>
      <w:r>
        <w:rPr>
          <w:rFonts w:ascii="Times New Roman" w:eastAsia="黑体" w:hAnsi="Times New Roman" w:cs="黑体" w:hint="eastAsia"/>
          <w:szCs w:val="32"/>
        </w:rPr>
        <w:t>第九章　规章备案审查程序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报送备案应包括备案报告、规章文本、制定说明、公布情况和立法依据表。</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常务委员会法制工作委员会负责报送备案规章的接收、登记、分送、存档和组织协调等工作。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常务委员会法制工作委员会应当根据规章的内容，分送有关专门委员会和常务委员会有关工作机构进行审查，提出审查意见。</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规章有下列情形之一的，常务委员会应当依法予以撤销：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（二）违反上位法规定的；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（三）规章的规定不适当，应当予以撤销的；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（四）违背法定程序的。</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市监察委员会、市中级人民法院、市人民检察院、县（区）人民代表大会常务委员会认为规章存在第五十九条所列情形之一的，可以向市人民代表大会常务委员会书面提出审查的要求。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前款规定以外的其他国家机关、社会团体、企业事业组织或者公民认为规章存在第五十九条所列情形之一的，可以向市人民代表大会常务委员会书面提出审查的建议。</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有关专门委员会、常务委员会有关工作机构可以单独或者联合召开审查会议，听取制定机关有关情况说明；可以召开论证会，征求有关部门、人大代表、专家学者以及利害关系人的意见。</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有关专门委员会、常务委员会有关工作机构经审查研究，认为规章存在第五十九条所列情形之一，需要予以纠正的，应当提出书面意见。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常务委员会法制工作委员会应当会同有关专门委员会、常务委员会有关工作机构对书面意见进行研究，认为需要予以纠正的，由常务委员会办公室向市人民政府提出纠正建议。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市人民政府应当在收到纠正建议之日起四十五日内向常务委员会办公室书面反馈处理意见。</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未按照第六十二条规定的纠正建议予以处理的，常务委员会法制工作委员会应当会同有关专门委员会、常务委员会有关工作机构进行研究，认为市人民政府不予纠正的理由不成立的，应当提出初步审查意见，提请主任会议或者法制委员会进行审查。</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主任会议或者法制委员会经审查认为规章存在第五十九条所列情形之一，需要予以纠正的，由常务委员会办公室向市人民政府发出书面审查意见，要求市人民政府自行修改或者废止该规章。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市人民政府应当自收到书面审查意见之日起六十日内将处理情况向常务委员会办公室反馈，常务委员会办公室应当向主任会议或者法制委员会报告。</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经审查认为规章存在第五十九条所列情形之一的，而市人民政府不予纠正的，法制委员会依照撤销规章的法定权限向主任会议提出书面审查意见和议案、建议，由主任会议决定是否提请常务委员会会议审议决定；或者由主任会议提出议案提请常务委员会会议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常务委员会会议对撤销规章的议案、建议进行审议时，市人民政府应当派有关负责人员到会听取意见，回答询问，并可以书面陈述意见。</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常务委员会会议审议规章撤销案，在全体会议上听取法制委员会审查意见的报告，进行审议，作出决定。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常务委员会对规章作出的撤销决定，由常务委员会发布公告予以公布。</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常务委员会法制工作委员会应当将审查情况向提出审查要求、审查建议的国家机关、社会团体、企业事业组织或者公民反馈。</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十章 其他规定"/>
      <w:bookmarkEnd w:id="79"/>
      <w:r>
        <w:rPr>
          <w:rFonts w:ascii="Times New Roman" w:eastAsia="黑体" w:hAnsi="Times New Roman" w:cs="黑体" w:hint="eastAsia"/>
          <w:szCs w:val="32"/>
        </w:rPr>
        <w:t>第十章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主管法规实施的部门应当加强法规的宣传和贯彻落实，在法规施行满两年后，应当就法规实施情况向常务委员会书面报告。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常务委员会可以根据需要，组织对相关法规开展执法检查，了解法规的执行情况，提出完善法规的意见。</w:t>
      </w:r>
    </w:p>
    <w:p>
      <w:pPr>
        <w:ind w:firstLine="640" w:firstLineChars="200"/>
        <w:rPr>
          <w:rFonts w:ascii="Times New Roman" w:hAnsi="Times New Roman" w:cs="仿宋_GB2312"/>
          <w:sz w:val="32"/>
          <w:szCs w:val="32"/>
        </w:rPr>
      </w:pPr>
      <w:bookmarkStart w:id="82" w:name="第七十条"/>
      <w:bookmarkEnd w:id="82"/>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主任会议根据工作需要，可以决定专门委员会、常务委员会有关工作机构对法规或法规中有关规定进行立法后评估。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报告经主任会议决定，提请常务委员会会议审议。审议意见建议修改、废止地方性法规的，专门委员会、常务委员会工作机构应当组织研究；建议完善配套制度或者法规实施工作的，有关国家机关应当在六十日内向专门委员会、常务委员会工作机构反馈处理情况。研究及处理情况应当向主任会议报告。</w:t>
      </w:r>
    </w:p>
    <w:p>
      <w:pPr>
        <w:ind w:firstLine="640" w:firstLineChars="200"/>
        <w:rPr>
          <w:rFonts w:ascii="Times New Roman" w:hAnsi="Times New Roman" w:cs="仿宋_GB2312"/>
          <w:sz w:val="32"/>
          <w:szCs w:val="32"/>
        </w:rPr>
      </w:pPr>
      <w:bookmarkStart w:id="83" w:name="第七十一条"/>
      <w:bookmarkEnd w:id="83"/>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市人民代表大会及其常务委员会可以根据区域协调发展的需要，与有关市级人民代表大会及其常务委员会协同制定地方性法规，在本行政区域或者有关区域内实施。</w:t>
      </w:r>
    </w:p>
    <w:p>
      <w:pPr>
        <w:ind w:firstLine="640" w:firstLineChars="200"/>
        <w:rPr>
          <w:rFonts w:ascii="Times New Roman" w:hAnsi="Times New Roman" w:cs="仿宋_GB2312"/>
          <w:sz w:val="32"/>
          <w:szCs w:val="32"/>
        </w:rPr>
      </w:pPr>
      <w:bookmarkStart w:id="84" w:name="第七十二条"/>
      <w:bookmarkEnd w:id="84"/>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常务委员会可以选取调整对象具体、法律关系清晰、便于操作执行等的立法事项，以不分章节、短小精悍、务实管用的“小切口”形式进行专门立法。</w:t>
      </w:r>
    </w:p>
    <w:p>
      <w:pPr>
        <w:ind w:firstLine="640" w:firstLineChars="200"/>
        <w:rPr>
          <w:rFonts w:ascii="Times New Roman" w:hAnsi="Times New Roman" w:cs="仿宋_GB2312"/>
          <w:sz w:val="32"/>
          <w:szCs w:val="32"/>
        </w:rPr>
      </w:pPr>
      <w:bookmarkStart w:id="85" w:name="第七十三条"/>
      <w:bookmarkEnd w:id="85"/>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常务委员会可以根据实际需要，设立基层立法联系点，建立完善联系与指导机制，深入听取基层群众和有关方面对法规草案和立法工作的意见。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常务委员会可以根据实际需要，设立地方立法研究服务基地，发挥基地专业优势，为地方立法提供智力支持和咨询服务。</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十一章 附则"/>
      <w:bookmarkEnd w:id="86"/>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四条"/>
      <w:bookmarkEnd w:id="87"/>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