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方正小标宋简体"/>
          <w:snapToGrid/>
          <w:color w:val="000000"/>
          <w:sz w:val="44"/>
          <w:szCs w:val="44"/>
        </w:rPr>
      </w:pPr>
      <w:bookmarkStart w:id="0" w:name="_GoBack"/>
      <w:bookmarkEnd w:id="0"/>
    </w:p>
    <w:p>
      <w:pPr>
        <w:pStyle w:val="2"/>
        <w:rPr>
          <w:rFonts w:hint="default"/>
        </w:rPr>
      </w:pPr>
    </w:p>
    <w:p>
      <w:pPr>
        <w:widowControl/>
        <w:shd w:val="clear" w:color="auto" w:fill="FFFFFF"/>
        <w:spacing w:line="540" w:lineRule="exact"/>
        <w:jc w:val="center"/>
        <w:rPr>
          <w:rFonts w:ascii="宋体" w:hAnsi="宋体" w:eastAsia="宋体" w:cs="华文楷体"/>
          <w:bCs/>
          <w:color w:val="000000"/>
        </w:rPr>
      </w:pPr>
      <w:r>
        <w:rPr>
          <w:rFonts w:hint="eastAsia" w:ascii="宋体" w:hAnsi="宋体" w:eastAsia="宋体" w:cs="方正小标宋简体"/>
          <w:snapToGrid/>
          <w:color w:val="000000"/>
          <w:sz w:val="44"/>
          <w:szCs w:val="44"/>
        </w:rPr>
        <w:t>烟台市芝罘岛生态环境保护条例</w:t>
      </w:r>
    </w:p>
    <w:p>
      <w:pPr>
        <w:spacing w:line="540" w:lineRule="exact"/>
        <w:jc w:val="center"/>
        <w:rPr>
          <w:rFonts w:ascii="宋体" w:hAnsi="宋体" w:eastAsia="宋体" w:cs="方正小标宋简体"/>
          <w:color w:val="000000"/>
        </w:rPr>
      </w:pPr>
    </w:p>
    <w:p>
      <w:pPr>
        <w:shd w:val="clear" w:color="auto" w:fill="FFFFFF"/>
        <w:spacing w:line="540" w:lineRule="exact"/>
        <w:ind w:left="640" w:leftChars="200" w:right="640" w:rightChars="200"/>
        <w:rPr>
          <w:rFonts w:ascii="楷体_GB2312" w:hAnsi="宋体" w:eastAsia="楷体_GB2312" w:cs="宋体"/>
          <w:color w:val="000000"/>
          <w:spacing w:val="-4"/>
        </w:rPr>
      </w:pPr>
      <w:r>
        <w:rPr>
          <w:rFonts w:hint="eastAsia" w:ascii="楷体_GB2312" w:hAnsi="宋体" w:eastAsia="楷体_GB2312" w:cs="宋体"/>
          <w:snapToGrid/>
          <w:color w:val="000000"/>
          <w:spacing w:val="-4"/>
        </w:rPr>
        <w:t>（20</w:t>
      </w:r>
      <w:r>
        <w:rPr>
          <w:rFonts w:ascii="楷体_GB2312" w:hAnsi="宋体" w:eastAsia="楷体_GB2312" w:cs="宋体"/>
          <w:snapToGrid/>
          <w:color w:val="000000"/>
          <w:spacing w:val="-4"/>
        </w:rPr>
        <w:t>21</w:t>
      </w:r>
      <w:r>
        <w:rPr>
          <w:rFonts w:hint="eastAsia" w:ascii="楷体_GB2312" w:hAnsi="宋体" w:eastAsia="楷体_GB2312" w:cs="宋体"/>
          <w:snapToGrid/>
          <w:color w:val="000000"/>
          <w:spacing w:val="-4"/>
        </w:rPr>
        <w:t>年10月2</w:t>
      </w:r>
      <w:r>
        <w:rPr>
          <w:rFonts w:ascii="楷体_GB2312" w:hAnsi="宋体" w:eastAsia="楷体_GB2312" w:cs="宋体"/>
          <w:snapToGrid/>
          <w:color w:val="000000"/>
          <w:spacing w:val="-4"/>
        </w:rPr>
        <w:t>8</w:t>
      </w:r>
      <w:r>
        <w:rPr>
          <w:rFonts w:hint="eastAsia" w:ascii="楷体_GB2312" w:hAnsi="宋体" w:eastAsia="楷体_GB2312" w:cs="宋体"/>
          <w:snapToGrid/>
          <w:color w:val="000000"/>
          <w:spacing w:val="-4"/>
        </w:rPr>
        <w:t>日烟台市第十七届人民代表大会常务委员会第四十一次会议通过  20</w:t>
      </w:r>
      <w:r>
        <w:rPr>
          <w:rFonts w:ascii="楷体_GB2312" w:hAnsi="宋体" w:eastAsia="楷体_GB2312" w:cs="宋体"/>
          <w:snapToGrid/>
          <w:color w:val="000000"/>
          <w:spacing w:val="-4"/>
        </w:rPr>
        <w:t>21</w:t>
      </w:r>
      <w:r>
        <w:rPr>
          <w:rFonts w:hint="eastAsia" w:ascii="楷体_GB2312" w:hAnsi="宋体" w:eastAsia="楷体_GB2312" w:cs="宋体"/>
          <w:snapToGrid/>
          <w:color w:val="000000"/>
          <w:spacing w:val="-4"/>
        </w:rPr>
        <w:t>年1</w:t>
      </w:r>
      <w:r>
        <w:rPr>
          <w:rFonts w:ascii="楷体_GB2312" w:hAnsi="宋体" w:eastAsia="楷体_GB2312" w:cs="宋体"/>
          <w:snapToGrid/>
          <w:color w:val="000000"/>
          <w:spacing w:val="-4"/>
        </w:rPr>
        <w:t>2</w:t>
      </w:r>
      <w:r>
        <w:rPr>
          <w:rFonts w:hint="eastAsia" w:ascii="楷体_GB2312" w:hAnsi="宋体" w:eastAsia="楷体_GB2312" w:cs="宋体"/>
          <w:snapToGrid/>
          <w:color w:val="000000"/>
          <w:spacing w:val="-4"/>
        </w:rPr>
        <w:t>月</w:t>
      </w:r>
      <w:r>
        <w:rPr>
          <w:rFonts w:ascii="楷体_GB2312" w:hAnsi="宋体" w:eastAsia="楷体_GB2312" w:cs="宋体"/>
          <w:snapToGrid/>
          <w:color w:val="000000"/>
          <w:spacing w:val="-4"/>
        </w:rPr>
        <w:t>3</w:t>
      </w:r>
      <w:r>
        <w:rPr>
          <w:rFonts w:hint="eastAsia" w:ascii="楷体_GB2312" w:hAnsi="宋体" w:eastAsia="楷体_GB2312" w:cs="宋体"/>
          <w:snapToGrid/>
          <w:color w:val="000000"/>
          <w:spacing w:val="-4"/>
        </w:rPr>
        <w:t>日</w:t>
      </w:r>
      <w:r>
        <w:rPr>
          <w:rFonts w:hint="eastAsia" w:ascii="楷体_GB2312" w:eastAsia="楷体_GB2312"/>
          <w:snapToGrid/>
          <w:color w:val="000000"/>
          <w:spacing w:val="-4"/>
          <w:kern w:val="2"/>
        </w:rPr>
        <w:t>山东省第十三届人民代表大会常务委员会第三十二次会议批准</w:t>
      </w:r>
      <w:r>
        <w:rPr>
          <w:rFonts w:hint="eastAsia" w:ascii="楷体_GB2312" w:hAnsi="宋体" w:eastAsia="楷体_GB2312" w:cs="宋体"/>
          <w:snapToGrid/>
          <w:color w:val="000000"/>
          <w:spacing w:val="-4"/>
        </w:rPr>
        <w:t>）</w:t>
      </w:r>
    </w:p>
    <w:p>
      <w:pPr>
        <w:spacing w:line="540" w:lineRule="exact"/>
        <w:ind w:firstLine="566" w:firstLineChars="177"/>
        <w:rPr>
          <w:rFonts w:ascii="宋体" w:hAnsi="宋体" w:eastAsia="宋体" w:cs="仿宋_GB2312"/>
          <w:color w:val="000000"/>
        </w:rPr>
      </w:pPr>
    </w:p>
    <w:p>
      <w:pPr>
        <w:spacing w:line="540" w:lineRule="exact"/>
        <w:ind w:firstLine="640" w:firstLineChars="200"/>
        <w:outlineLvl w:val="1"/>
        <w:rPr>
          <w:rFonts w:ascii="仿宋_GB2312" w:hAnsi="宋体"/>
          <w:kern w:val="2"/>
        </w:rPr>
      </w:pPr>
      <w:r>
        <w:rPr>
          <w:rFonts w:hint="eastAsia" w:ascii="黑体" w:hAnsi="黑体" w:eastAsia="黑体" w:cs="黑体"/>
          <w:kern w:val="2"/>
        </w:rPr>
        <w:t>第一条</w:t>
      </w:r>
      <w:r>
        <w:rPr>
          <w:rFonts w:ascii="黑体" w:hAnsi="黑体" w:eastAsia="黑体" w:cs="黑体"/>
          <w:kern w:val="2"/>
        </w:rPr>
        <w:t xml:space="preserve">  </w:t>
      </w:r>
      <w:r>
        <w:rPr>
          <w:rFonts w:hint="eastAsia" w:ascii="仿宋_GB2312" w:hAnsi="宋体" w:cs="仿宋_GB2312"/>
          <w:kern w:val="2"/>
        </w:rPr>
        <w:t>为了保护芝罘岛及其周边海域的生态环境，科学合理利用岛</w:t>
      </w:r>
      <w:r>
        <w:rPr>
          <w:rFonts w:hint="eastAsia" w:ascii="仿宋_GB2312" w:hAnsi="仿宋" w:cs="仿宋_GB2312"/>
          <w:kern w:val="2"/>
        </w:rPr>
        <w:t>上</w:t>
      </w:r>
      <w:r>
        <w:rPr>
          <w:rFonts w:hint="eastAsia" w:ascii="仿宋_GB2312" w:hAnsi="宋体" w:cs="仿宋_GB2312"/>
          <w:kern w:val="2"/>
        </w:rPr>
        <w:t>自然资源，根据《中华人民共和国环境保护法》《中华人民共和国海洋环境保护法》等法律、法规，结合本市实际，制定本条例。</w:t>
      </w:r>
    </w:p>
    <w:p>
      <w:pPr>
        <w:spacing w:line="540" w:lineRule="exact"/>
        <w:ind w:firstLine="640" w:firstLineChars="200"/>
        <w:outlineLvl w:val="1"/>
        <w:rPr>
          <w:rFonts w:ascii="仿宋_GB2312" w:hAnsi="宋体"/>
          <w:kern w:val="2"/>
        </w:rPr>
      </w:pPr>
      <w:r>
        <w:rPr>
          <w:rFonts w:hint="eastAsia" w:ascii="黑体" w:hAnsi="黑体" w:eastAsia="黑体" w:cs="黑体"/>
          <w:kern w:val="2"/>
        </w:rPr>
        <w:t>第二条　</w:t>
      </w:r>
      <w:r>
        <w:rPr>
          <w:rFonts w:hint="eastAsia" w:ascii="仿宋_GB2312" w:hAnsi="宋体" w:cs="仿宋_GB2312"/>
          <w:kern w:val="2"/>
        </w:rPr>
        <w:t>本条例适用于芝罘岛及其周边海域生态环境保护、开发利用以及相关管理等活动。</w:t>
      </w:r>
    </w:p>
    <w:p>
      <w:pPr>
        <w:spacing w:line="540" w:lineRule="exact"/>
        <w:ind w:firstLine="640" w:firstLineChars="200"/>
        <w:outlineLvl w:val="1"/>
        <w:rPr>
          <w:rFonts w:ascii="仿宋_GB2312" w:hAnsi="宋体"/>
          <w:kern w:val="2"/>
        </w:rPr>
      </w:pPr>
      <w:r>
        <w:rPr>
          <w:rFonts w:hint="eastAsia" w:ascii="仿宋_GB2312" w:hAnsi="宋体" w:cs="仿宋_GB2312"/>
          <w:kern w:val="2"/>
        </w:rPr>
        <w:t>芝罘岛岛屿范围为东侧、北侧、西侧以海岸线为界，南侧至芝罘岛立交桥北端，面积约</w:t>
      </w:r>
      <w:r>
        <w:rPr>
          <w:rFonts w:ascii="仿宋_GB2312" w:hAnsi="宋体" w:cs="仿宋_GB2312"/>
          <w:kern w:val="2"/>
        </w:rPr>
        <w:t>13.8</w:t>
      </w:r>
      <w:r>
        <w:rPr>
          <w:rFonts w:hint="eastAsia" w:ascii="仿宋_GB2312" w:hAnsi="宋体" w:cs="仿宋_GB2312"/>
          <w:kern w:val="2"/>
        </w:rPr>
        <w:t>平方公里；周边海域范围为芝罘岛海岸线外延</w:t>
      </w:r>
      <w:r>
        <w:rPr>
          <w:rFonts w:ascii="仿宋_GB2312" w:hAnsi="宋体" w:cs="仿宋_GB2312"/>
          <w:kern w:val="2"/>
        </w:rPr>
        <w:t>1</w:t>
      </w:r>
      <w:r>
        <w:rPr>
          <w:rFonts w:hint="eastAsia" w:ascii="仿宋_GB2312" w:hAnsi="宋体" w:cs="仿宋_GB2312"/>
          <w:kern w:val="2"/>
        </w:rPr>
        <w:t>公里。</w:t>
      </w:r>
    </w:p>
    <w:p>
      <w:pPr>
        <w:spacing w:line="540" w:lineRule="exact"/>
        <w:ind w:firstLine="640" w:firstLineChars="200"/>
        <w:rPr>
          <w:rFonts w:hAnsi="仿宋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第三条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芝罘岛生态环境保护应当遵循保护优先、科学规划、合理开发、综合治理的原则。</w:t>
      </w:r>
    </w:p>
    <w:p>
      <w:pPr>
        <w:spacing w:line="540" w:lineRule="exact"/>
        <w:ind w:firstLine="640" w:firstLineChars="200"/>
        <w:outlineLvl w:val="1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第四条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市人民政府统一领导芝罘岛生态环境保护工作，建立生态保护体制机制，具体办法由市人民政府组织制定实施。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芝罘区人民政府是芝罘岛生态环境保护的责任主体，按照管理权限具体负责组织实施保护和修复治理工作，负责制定生态保护和可持续发展的政策措施，保障岛上居民生产生活。</w:t>
      </w:r>
    </w:p>
    <w:p>
      <w:pPr>
        <w:spacing w:line="540" w:lineRule="exact"/>
        <w:ind w:firstLine="640" w:firstLineChars="200"/>
        <w:outlineLvl w:val="1"/>
        <w:rPr>
          <w:rFonts w:ascii="仿宋_GB2312" w:hAnsi="宋体"/>
          <w:color w:val="000000"/>
        </w:rPr>
      </w:pP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芝罘岛街道办事处应当按照市、芝罘区人民政府的要求做好芝罘岛生态环境保护的相关工作。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第五条　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发展改革、公安、民政、财政、自然资源和规划、生态环境、住房城乡建设、城管、农业农村、海洋发展和渔业、文化和旅游等部门按照各自职责，负责芝罘岛及其周边海域生态环境保护工作。</w:t>
      </w:r>
    </w:p>
    <w:p>
      <w:pPr>
        <w:shd w:val="clear" w:color="auto" w:fill="FFFFFF"/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第六条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市、芝罘区人民政府应当加强对芝罘岛生态环境保护的宣传教育工作，普及生态环境保护科学知识。</w:t>
      </w:r>
    </w:p>
    <w:p>
      <w:pPr>
        <w:shd w:val="clear" w:color="auto" w:fill="FFFFFF"/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对在芝罘岛生态环境保护工作中做出显著成绩的单位和个人，市、芝罘区人民政府按照有关规定给予表彰奖励。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任何单位和个人都有保护芝罘岛生态环境的义务，并有权对破坏生态环境的违法违规行为进行劝阻、制止和举报。</w:t>
      </w:r>
    </w:p>
    <w:p>
      <w:pPr>
        <w:shd w:val="clear" w:color="auto" w:fill="FFFFFF"/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第七条</w:t>
      </w:r>
      <w:r>
        <w:rPr>
          <w:rFonts w:hint="eastAsia" w:hAnsi="仿宋" w:cs="仿宋_GB2312"/>
          <w:snapToGrid/>
          <w:kern w:val="2"/>
          <w:szCs w:val="20"/>
        </w:rPr>
        <w:t>　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市、芝罘区人民政府应当科学规划岛上建筑风格、园林绿化、景观照明、街道界面、户外广告等，优化人居环境，保持岛上风貌，维护生态平衡。</w:t>
      </w:r>
    </w:p>
    <w:p>
      <w:pPr>
        <w:shd w:val="clear" w:color="auto" w:fill="FFFFFF"/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第八条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市、芝罘区人民政府应当采取措施，保护芝罘岛自然资源、自然景观以及历史、人文遗迹等。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第九条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严格保护芝罘岛自然岸线，保持芝罘岛岛屿形状和风貌，禁止开山、取土、采石、炸礁等破坏生态的活动，禁止建设风力发电项目，维护芝罘岛与周边岛屿生态系统的完整性。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第十条</w:t>
      </w:r>
      <w:r>
        <w:rPr>
          <w:rFonts w:hAnsi="宋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严格控制芝罘岛近海养殖规模，鼓励和推动深海养殖，科学建设海洋牧场，发展生态渔业。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从事海水养殖的单位、个人应当科学确定养殖密度，合理投饵、施肥和使用药物；采取有效措施防止污染物、废弃物进入海域，并负责及时清除使用范围内的生活垃圾和固体漂浮物。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第十一条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芝罘岛的建设应当对土地资源、水资源以及能源状况进行调查评估，依法进行环境影响评价。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第十二条　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严格控制芝罘岛建设用地规模、建设项目类型、建筑高度和建筑体量，合理布局城市空间和天际线，保持山、城、海、岛之间的景观通达性。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对海岸线周边生态空间实施严格的用途管制措施，实施海岸建筑退缩线制度。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第十三条</w:t>
      </w:r>
      <w:r>
        <w:rPr>
          <w:rFonts w:hAnsi="仿宋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减少芝罘岛工业用地规模。支持岛上企事业单位和其他生产经营者，依照有关规定转产、搬迁、关闭。</w:t>
      </w:r>
    </w:p>
    <w:p>
      <w:pPr>
        <w:spacing w:line="540" w:lineRule="exact"/>
        <w:ind w:firstLine="640" w:firstLineChars="200"/>
        <w:rPr>
          <w:rFonts w:ascii="仿宋" w:hAnsi="仿宋" w:eastAsia="仿宋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第十四条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严格保护芝罘岛沿海防护林，不得擅自缩小林地面积；拆除沿海防护林地内违章建筑物，及时补种苗木。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第十五条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严禁芝罘岛地下水开采，已有的地下水取水工程或者设施，按照有关规定限期封闭。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第十六条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严格保护野生动植物，防止外来物种入侵，保持芝罘岛动植物的原生性和多样性。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第十七条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完善市政管网建设，污水集中收集，处理达标后排放。禁止在依法划定的排污区范围外设置排污口或者排污暗管，禁止污水直接排海。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第十八条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芝罘区人民政府应当统筹规划，合理设置岛上垃圾收集、转运、处置设施，对生活、建筑等垃圾以及养殖废弃物进行分类投放、分类收集、分类运输、分类处理。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第十九条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禁止在芝罘岛私建坟墓。现有坟墓应当按照有关规定逐步迁出。</w:t>
      </w:r>
    </w:p>
    <w:p>
      <w:pPr>
        <w:spacing w:line="540" w:lineRule="exact"/>
        <w:ind w:firstLine="640" w:firstLineChars="200"/>
        <w:rPr>
          <w:rFonts w:hAnsi="仿宋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第二十条</w:t>
      </w:r>
      <w:r>
        <w:rPr>
          <w:rFonts w:ascii="黑体" w:hAnsi="黑体" w:eastAsia="黑体" w:cs="黑体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市、芝罘区人民政府应当加强对芝罘岛生态环境保护工作的监督，建立健全芝罘岛生态环境保护与修复长效机制。</w:t>
      </w:r>
    </w:p>
    <w:p>
      <w:pPr>
        <w:spacing w:line="540" w:lineRule="exact"/>
        <w:ind w:firstLine="640" w:firstLineChars="200"/>
        <w:outlineLvl w:val="1"/>
        <w:rPr>
          <w:rFonts w:ascii="仿宋_GB2312" w:hAnsi="宋体"/>
          <w:kern w:val="2"/>
        </w:rPr>
      </w:pPr>
      <w:r>
        <w:rPr>
          <w:rFonts w:hint="eastAsia" w:ascii="黑体" w:hAnsi="黑体" w:eastAsia="黑体" w:cs="黑体"/>
          <w:kern w:val="2"/>
        </w:rPr>
        <w:t>第二十一条</w:t>
      </w:r>
      <w:r>
        <w:rPr>
          <w:rFonts w:ascii="黑体" w:hAnsi="黑体" w:eastAsia="黑体" w:cs="黑体"/>
          <w:kern w:val="2"/>
        </w:rPr>
        <w:t xml:space="preserve">  </w:t>
      </w:r>
      <w:r>
        <w:rPr>
          <w:rFonts w:hint="eastAsia" w:ascii="仿宋_GB2312" w:hAnsi="宋体" w:cs="仿宋_GB2312"/>
          <w:kern w:val="2"/>
        </w:rPr>
        <w:t>严格落实管控要求，对林木植被、山体、自然岸线等进行重点监管，组织开展对破损裸露山体、受损海岸线的生态治理，恢复地形地貌。</w:t>
      </w:r>
    </w:p>
    <w:p>
      <w:pPr>
        <w:spacing w:line="540" w:lineRule="exact"/>
        <w:ind w:firstLine="640" w:firstLineChars="200"/>
        <w:outlineLvl w:val="1"/>
        <w:rPr>
          <w:rFonts w:ascii="仿宋_GB2312" w:hAnsi="宋体"/>
          <w:kern w:val="2"/>
        </w:rPr>
      </w:pPr>
      <w:r>
        <w:rPr>
          <w:rFonts w:hint="eastAsia" w:ascii="黑体" w:hAnsi="黑体" w:eastAsia="黑体" w:cs="黑体"/>
          <w:kern w:val="2"/>
        </w:rPr>
        <w:t>第二十二条　</w:t>
      </w:r>
      <w:r>
        <w:rPr>
          <w:rFonts w:hint="eastAsia" w:ascii="仿宋_GB2312" w:hAnsi="宋体" w:cs="仿宋_GB2312"/>
          <w:kern w:val="2"/>
        </w:rPr>
        <w:t>加大对芝罘岛自然损坏的生态环境修复治理的投入力度，将修复治理资金纳入年度预算，鼓励通过多种方式筹集生态保护资金。</w:t>
      </w:r>
    </w:p>
    <w:p>
      <w:pPr>
        <w:spacing w:line="540" w:lineRule="exact"/>
        <w:ind w:firstLine="640" w:firstLineChars="200"/>
        <w:outlineLvl w:val="1"/>
        <w:rPr>
          <w:rFonts w:ascii="仿宋_GB2312" w:hAnsi="宋体"/>
          <w:kern w:val="2"/>
        </w:rPr>
      </w:pPr>
      <w:r>
        <w:rPr>
          <w:rFonts w:hint="eastAsia" w:ascii="黑体" w:hAnsi="黑体" w:eastAsia="黑体" w:cs="黑体"/>
          <w:kern w:val="2"/>
        </w:rPr>
        <w:t>第二十三条</w:t>
      </w:r>
      <w:r>
        <w:rPr>
          <w:rFonts w:ascii="黑体" w:hAnsi="黑体" w:eastAsia="黑体" w:cs="黑体"/>
          <w:kern w:val="2"/>
        </w:rPr>
        <w:t xml:space="preserve">  </w:t>
      </w:r>
      <w:r>
        <w:rPr>
          <w:rFonts w:hint="eastAsia" w:ascii="仿宋_GB2312" w:hAnsi="宋体" w:cs="仿宋_GB2312"/>
          <w:kern w:val="2"/>
        </w:rPr>
        <w:t>对损坏的生态环境，修复治理责任人应当编制修复治理方案，依法进行修复治理。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第二十四条</w:t>
      </w:r>
      <w:r>
        <w:rPr>
          <w:rFonts w:hAnsi="仿宋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违反本条例规定，非法改变、破坏山体、自然岸线的，由有关行政机关责令改正，处五万元以上二十万元以下罚款；情节严重的，处二十万元以上五十万元以下罚款。</w:t>
      </w:r>
    </w:p>
    <w:p>
      <w:pPr>
        <w:spacing w:line="540" w:lineRule="exact"/>
        <w:ind w:firstLine="640" w:firstLineChars="200"/>
        <w:rPr>
          <w:rFonts w:ascii="仿宋_GB2312" w:hAnsi="宋体"/>
          <w:color w:val="000000"/>
          <w:spacing w:val="-4"/>
        </w:rPr>
      </w:pPr>
      <w:r>
        <w:rPr>
          <w:rFonts w:hint="eastAsia" w:ascii="黑体" w:hAnsi="黑体" w:eastAsia="黑体" w:cs="黑体"/>
          <w:snapToGrid/>
          <w:kern w:val="2"/>
          <w:szCs w:val="20"/>
        </w:rPr>
        <w:t>第二十五条</w:t>
      </w:r>
      <w:r>
        <w:rPr>
          <w:rFonts w:hAnsi="仿宋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spacing w:val="-4"/>
          <w:kern w:val="2"/>
          <w:szCs w:val="20"/>
        </w:rPr>
        <w:t>违反本条例规定，国家工作人员在芝罘岛生态环境保护工作中滥用职权、玩忽职守、徇私舞弊的，依法追究责任。</w:t>
      </w:r>
    </w:p>
    <w:p>
      <w:pPr>
        <w:spacing w:line="540" w:lineRule="exact"/>
        <w:ind w:firstLine="640" w:firstLineChars="200"/>
      </w:pPr>
      <w:r>
        <w:rPr>
          <w:rFonts w:hint="eastAsia" w:ascii="黑体" w:hAnsi="黑体" w:eastAsia="黑体" w:cs="黑体"/>
          <w:snapToGrid/>
          <w:kern w:val="2"/>
          <w:szCs w:val="20"/>
        </w:rPr>
        <w:t>第二十六条</w:t>
      </w:r>
      <w:r>
        <w:rPr>
          <w:rFonts w:hAnsi="仿宋"/>
          <w:snapToGrid/>
          <w:kern w:val="2"/>
          <w:szCs w:val="20"/>
        </w:rPr>
        <w:t xml:space="preserve">  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本条例自</w:t>
      </w:r>
      <w:r>
        <w:rPr>
          <w:rFonts w:ascii="仿宋_GB2312" w:hAnsi="宋体" w:cs="仿宋_GB2312"/>
          <w:snapToGrid/>
          <w:color w:val="000000"/>
          <w:kern w:val="2"/>
          <w:szCs w:val="20"/>
        </w:rPr>
        <w:t>2022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年</w:t>
      </w:r>
      <w:r>
        <w:rPr>
          <w:rFonts w:ascii="仿宋_GB2312" w:hAnsi="宋体" w:cs="仿宋_GB2312"/>
          <w:snapToGrid/>
          <w:color w:val="000000"/>
          <w:kern w:val="2"/>
          <w:szCs w:val="20"/>
        </w:rPr>
        <w:t>1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月</w:t>
      </w:r>
      <w:r>
        <w:rPr>
          <w:rFonts w:ascii="仿宋_GB2312" w:hAnsi="宋体" w:cs="仿宋_GB2312"/>
          <w:snapToGrid/>
          <w:color w:val="000000"/>
          <w:kern w:val="2"/>
          <w:szCs w:val="20"/>
        </w:rPr>
        <w:t>1</w:t>
      </w:r>
      <w:r>
        <w:rPr>
          <w:rFonts w:hint="eastAsia" w:ascii="仿宋_GB2312" w:hAnsi="宋体" w:cs="仿宋_GB2312"/>
          <w:snapToGrid/>
          <w:color w:val="000000"/>
          <w:kern w:val="2"/>
          <w:szCs w:val="20"/>
        </w:rPr>
        <w:t>日起施行。</w:t>
      </w:r>
    </w:p>
    <w:p>
      <w:pPr>
        <w:tabs>
          <w:tab w:val="left" w:pos="2160"/>
        </w:tabs>
        <w:spacing w:line="580" w:lineRule="exact"/>
        <w:rPr>
          <w:rFonts w:ascii="方正小标宋_GBK" w:hAnsi="仿宋" w:eastAsia="方正小标宋_GBK"/>
          <w:bCs/>
          <w:color w:val="000000"/>
          <w:sz w:val="44"/>
          <w:szCs w:val="44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altName w:val="微软雅黑"/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  <w:rPr>
                              <w:rFonts w:hint="eastAsia" w:ascii="宋体" w:hAnsi="宋体" w:eastAsia="宋体" w:cs="宋体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0G3Y3AgAAb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d0tK4+VP0F&#10;TKFlYat3lsc0USpvV8cAaTvFo0C9KuhU3GAOu54NbyYO+p/7LurxP7H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9dBt2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  <w:rPr>
                        <w:rFonts w:hint="eastAsia" w:ascii="宋体" w:hAnsi="宋体" w:eastAsia="宋体" w:cs="宋体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9FE54"/>
    <w:rsid w:val="4F39FE54"/>
    <w:rsid w:val="57626E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1"/>
    <w:basedOn w:val="3"/>
    <w:qFormat/>
    <w:uiPriority w:val="99"/>
    <w:pPr>
      <w:ind w:firstLine="420" w:firstLineChars="200"/>
    </w:pPr>
  </w:style>
  <w:style w:type="paragraph" w:customStyle="1" w:styleId="3">
    <w:name w:val="Normal New New New New New New New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2021-12-28T11:46:00Z</dcterms:created>
  <dc:creator>user</dc:creator>
  <cp:lastModifiedBy>苏苏</cp:lastModifiedBy>
  <dcterms:modified xsi:type="dcterms:W3CDTF">2021-12-29T07:54:24Z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