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spacing w:beforeLines="0" w:afterLines="0" w:line="590" w:lineRule="exact"/>
        <w:rPr>
          <w:rFonts w:ascii="宋体" w:hAnsi="宋体" w:eastAsia="仿宋_GB2312" w:cs="Arial"/>
          <w:sz w:val="32"/>
          <w:szCs w:val="32"/>
        </w:rPr>
      </w:pPr>
    </w:p>
    <w:p>
      <w:pPr>
        <w:spacing w:beforeLines="0" w:afterLines="0" w:line="590" w:lineRule="exact"/>
        <w:jc w:val="center"/>
        <w:rPr>
          <w:rFonts w:hint="eastAsia" w:ascii="宋体" w:hAnsi="宋体" w:eastAsia="方正小标宋简体"/>
          <w:sz w:val="44"/>
          <w:szCs w:val="44"/>
        </w:rPr>
      </w:pPr>
      <w:r>
        <w:rPr>
          <w:rFonts w:hint="eastAsia" w:ascii="宋体" w:hAnsi="宋体" w:eastAsia="宋体" w:cs="宋体"/>
          <w:sz w:val="44"/>
          <w:szCs w:val="44"/>
        </w:rPr>
        <w:t>珠海市服务业环境管理条例</w:t>
      </w:r>
      <w:r>
        <w:rPr>
          <w:rFonts w:hint="eastAsia" w:ascii="宋体" w:hAnsi="宋体" w:eastAsia="方正小标宋简体"/>
          <w:sz w:val="44"/>
          <w:szCs w:val="44"/>
        </w:rPr>
        <w:t xml:space="preserve"> </w:t>
      </w:r>
    </w:p>
    <w:p>
      <w:pPr>
        <w:spacing w:beforeLines="0" w:afterLines="0" w:line="590" w:lineRule="exact"/>
        <w:ind w:firstLine="632" w:firstLineChars="200"/>
        <w:rPr>
          <w:rFonts w:ascii="宋体" w:hAnsi="宋体"/>
          <w:szCs w:val="32"/>
        </w:rPr>
      </w:pPr>
    </w:p>
    <w:p>
      <w:pPr>
        <w:adjustRightInd w:val="0"/>
        <w:spacing w:beforeLines="0" w:afterLines="0" w:line="590" w:lineRule="exact"/>
        <w:ind w:left="632" w:leftChars="200" w:right="632" w:rightChars="200" w:firstLine="0" w:firstLineChars="0"/>
        <w:rPr>
          <w:rFonts w:hint="eastAsia" w:ascii="宋体" w:hAnsi="宋体" w:eastAsia="方正楷体简体"/>
          <w:sz w:val="32"/>
          <w:szCs w:val="32"/>
        </w:rPr>
      </w:pPr>
      <w:r>
        <w:rPr>
          <w:rFonts w:hint="eastAsia" w:ascii="宋体" w:hAnsi="宋体" w:eastAsia="方正楷体简体"/>
          <w:sz w:val="32"/>
          <w:szCs w:val="32"/>
        </w:rPr>
        <w:t>（</w:t>
      </w:r>
      <w:r>
        <w:rPr>
          <w:rFonts w:hint="eastAsia" w:ascii="宋体" w:hAnsi="宋体" w:eastAsia="宋体" w:cs="宋体"/>
          <w:sz w:val="32"/>
          <w:szCs w:val="32"/>
        </w:rPr>
        <w:t>2005</w:t>
      </w:r>
      <w:r>
        <w:rPr>
          <w:rFonts w:hint="eastAsia" w:ascii="宋体" w:hAnsi="宋体" w:eastAsia="楷体" w:cs="楷体"/>
          <w:sz w:val="32"/>
          <w:szCs w:val="32"/>
        </w:rPr>
        <w:t>年</w:t>
      </w:r>
      <w:r>
        <w:rPr>
          <w:rFonts w:hint="eastAsia" w:ascii="宋体" w:hAnsi="宋体" w:eastAsia="宋体" w:cs="宋体"/>
          <w:sz w:val="32"/>
          <w:szCs w:val="32"/>
        </w:rPr>
        <w:t>12</w:t>
      </w:r>
      <w:r>
        <w:rPr>
          <w:rFonts w:hint="eastAsia" w:ascii="宋体" w:hAnsi="宋体" w:eastAsia="楷体" w:cs="楷体"/>
          <w:sz w:val="32"/>
          <w:szCs w:val="32"/>
        </w:rPr>
        <w:t>月</w:t>
      </w:r>
      <w:r>
        <w:rPr>
          <w:rFonts w:hint="eastAsia" w:ascii="宋体" w:hAnsi="宋体" w:eastAsia="宋体" w:cs="宋体"/>
          <w:sz w:val="32"/>
          <w:szCs w:val="32"/>
        </w:rPr>
        <w:t>23</w:t>
      </w:r>
      <w:r>
        <w:rPr>
          <w:rFonts w:hint="eastAsia" w:ascii="宋体" w:hAnsi="宋体" w:eastAsia="楷体" w:cs="楷体"/>
          <w:sz w:val="32"/>
          <w:szCs w:val="32"/>
        </w:rPr>
        <w:t xml:space="preserve">日珠海市第六届人民代表大会常务委员会第十四次会议通过 </w:t>
      </w:r>
      <w:r>
        <w:rPr>
          <w:rFonts w:hint="eastAsia" w:ascii="宋体" w:hAnsi="宋体" w:eastAsia="宋体" w:cs="宋体"/>
          <w:sz w:val="32"/>
          <w:szCs w:val="32"/>
        </w:rPr>
        <w:t xml:space="preserve"> 2006</w:t>
      </w:r>
      <w:r>
        <w:rPr>
          <w:rFonts w:hint="eastAsia" w:ascii="宋体" w:hAnsi="宋体" w:eastAsia="楷体" w:cs="楷体"/>
          <w:sz w:val="32"/>
          <w:szCs w:val="32"/>
        </w:rPr>
        <w:t>年</w:t>
      </w:r>
      <w:r>
        <w:rPr>
          <w:rFonts w:hint="eastAsia" w:ascii="宋体" w:hAnsi="宋体" w:eastAsia="宋体" w:cs="宋体"/>
          <w:sz w:val="32"/>
          <w:szCs w:val="32"/>
        </w:rPr>
        <w:t>3</w:t>
      </w:r>
      <w:r>
        <w:rPr>
          <w:rFonts w:hint="eastAsia" w:ascii="宋体" w:hAnsi="宋体" w:eastAsia="楷体" w:cs="楷体"/>
          <w:sz w:val="32"/>
          <w:szCs w:val="32"/>
        </w:rPr>
        <w:t>月</w:t>
      </w:r>
      <w:r>
        <w:rPr>
          <w:rFonts w:hint="eastAsia" w:ascii="宋体" w:hAnsi="宋体" w:eastAsia="宋体" w:cs="宋体"/>
          <w:sz w:val="32"/>
          <w:szCs w:val="32"/>
        </w:rPr>
        <w:t>30</w:t>
      </w:r>
      <w:r>
        <w:rPr>
          <w:rFonts w:hint="eastAsia" w:ascii="宋体" w:hAnsi="宋体" w:eastAsia="楷体" w:cs="楷体"/>
          <w:sz w:val="32"/>
          <w:szCs w:val="32"/>
        </w:rPr>
        <w:t xml:space="preserve">日广东省第十届人民代表大会常务委员会第二十四次会议批准 </w:t>
      </w:r>
      <w:r>
        <w:rPr>
          <w:rFonts w:hint="eastAsia" w:ascii="宋体" w:hAnsi="宋体" w:eastAsia="楷体" w:cs="楷体"/>
          <w:sz w:val="32"/>
          <w:szCs w:val="32"/>
          <w:lang w:val="en-US" w:eastAsia="zh-CN"/>
        </w:rPr>
        <w:t xml:space="preserve"> </w:t>
      </w:r>
      <w:r>
        <w:rPr>
          <w:rFonts w:hint="eastAsia" w:ascii="宋体" w:hAnsi="宋体" w:eastAsia="楷体" w:cs="楷体"/>
          <w:sz w:val="32"/>
          <w:szCs w:val="32"/>
        </w:rPr>
        <w:t>根据</w:t>
      </w:r>
      <w:r>
        <w:rPr>
          <w:rFonts w:hint="eastAsia" w:ascii="宋体" w:hAnsi="宋体" w:eastAsia="宋体" w:cs="宋体"/>
          <w:sz w:val="32"/>
          <w:szCs w:val="32"/>
        </w:rPr>
        <w:t>2018</w:t>
      </w:r>
      <w:r>
        <w:rPr>
          <w:rFonts w:hint="eastAsia" w:ascii="宋体" w:hAnsi="宋体" w:eastAsia="楷体" w:cs="楷体"/>
          <w:sz w:val="32"/>
          <w:szCs w:val="32"/>
        </w:rPr>
        <w:t>年</w:t>
      </w:r>
      <w:r>
        <w:rPr>
          <w:rFonts w:hint="eastAsia" w:ascii="宋体" w:hAnsi="宋体" w:eastAsia="宋体" w:cs="宋体"/>
          <w:sz w:val="32"/>
          <w:szCs w:val="32"/>
        </w:rPr>
        <w:t>9</w:t>
      </w:r>
      <w:r>
        <w:rPr>
          <w:rFonts w:hint="eastAsia" w:ascii="宋体" w:hAnsi="宋体" w:eastAsia="楷体" w:cs="楷体"/>
          <w:sz w:val="32"/>
          <w:szCs w:val="32"/>
        </w:rPr>
        <w:t>月</w:t>
      </w:r>
      <w:r>
        <w:rPr>
          <w:rFonts w:hint="eastAsia" w:ascii="宋体" w:hAnsi="宋体" w:eastAsia="宋体" w:cs="宋体"/>
          <w:sz w:val="32"/>
          <w:szCs w:val="32"/>
        </w:rPr>
        <w:t>27</w:t>
      </w:r>
      <w:r>
        <w:rPr>
          <w:rFonts w:hint="eastAsia" w:ascii="宋体" w:hAnsi="宋体" w:eastAsia="楷体" w:cs="楷体"/>
          <w:sz w:val="32"/>
          <w:szCs w:val="32"/>
        </w:rPr>
        <w:t xml:space="preserve">日珠海市第九届人民代表大会常务委员会第十六次会议通过  </w:t>
      </w:r>
      <w:r>
        <w:rPr>
          <w:rFonts w:hint="eastAsia" w:ascii="宋体" w:hAnsi="宋体" w:eastAsia="宋体" w:cs="宋体"/>
          <w:sz w:val="32"/>
          <w:szCs w:val="32"/>
        </w:rPr>
        <w:t>2019</w:t>
      </w:r>
      <w:r>
        <w:rPr>
          <w:rFonts w:hint="eastAsia" w:ascii="宋体" w:hAnsi="宋体" w:eastAsia="楷体" w:cs="楷体"/>
          <w:sz w:val="32"/>
          <w:szCs w:val="32"/>
        </w:rPr>
        <w:t>年</w:t>
      </w:r>
      <w:r>
        <w:rPr>
          <w:rFonts w:hint="eastAsia" w:ascii="宋体" w:hAnsi="宋体" w:eastAsia="宋体" w:cs="宋体"/>
          <w:sz w:val="32"/>
          <w:szCs w:val="32"/>
        </w:rPr>
        <w:t>1</w:t>
      </w:r>
      <w:r>
        <w:rPr>
          <w:rFonts w:hint="eastAsia" w:ascii="宋体" w:hAnsi="宋体" w:eastAsia="楷体" w:cs="楷体"/>
          <w:sz w:val="32"/>
          <w:szCs w:val="32"/>
        </w:rPr>
        <w:t>月</w:t>
      </w:r>
      <w:r>
        <w:rPr>
          <w:rFonts w:hint="eastAsia" w:ascii="宋体" w:hAnsi="宋体" w:eastAsia="宋体" w:cs="宋体"/>
          <w:sz w:val="32"/>
          <w:szCs w:val="32"/>
        </w:rPr>
        <w:t>16</w:t>
      </w:r>
      <w:r>
        <w:rPr>
          <w:rFonts w:hint="eastAsia" w:ascii="宋体" w:hAnsi="宋体" w:eastAsia="楷体" w:cs="楷体"/>
          <w:sz w:val="32"/>
          <w:szCs w:val="32"/>
        </w:rPr>
        <w:t>日经广东省第十三届人民代表大会常务委员会第九次会议批准的《珠海市人民代表大会常务委员会关于修改〈珠海市排水条例〉等三部地方性法规的决定》修正</w:t>
      </w:r>
      <w:r>
        <w:rPr>
          <w:rFonts w:hint="eastAsia" w:ascii="宋体" w:hAnsi="宋体" w:eastAsia="方正楷体简体"/>
          <w:sz w:val="32"/>
          <w:szCs w:val="32"/>
        </w:rPr>
        <w:t>）</w:t>
      </w:r>
    </w:p>
    <w:p>
      <w:pPr>
        <w:spacing w:beforeLines="0" w:afterLines="0" w:line="590" w:lineRule="exact"/>
        <w:ind w:firstLine="632" w:firstLineChars="200"/>
        <w:rPr>
          <w:rFonts w:ascii="宋体" w:hAnsi="宋体"/>
          <w:szCs w:val="32"/>
        </w:rPr>
      </w:pPr>
      <w:r>
        <w:rPr>
          <w:rFonts w:ascii="宋体" w:hAnsi="宋体"/>
          <w:szCs w:val="32"/>
        </w:rPr>
        <w:t xml:space="preserve"> </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第一条</w:t>
      </w:r>
      <w:r>
        <w:rPr>
          <w:rFonts w:hint="eastAsia" w:ascii="宋体" w:hAnsi="宋体"/>
          <w:szCs w:val="32"/>
        </w:rPr>
        <w:t xml:space="preserve">  为加强服务业的环境管理，保护居民生活环境，防治污染，保障人体健康，根据有关法律、法规，结合本市实际，制定本条例。</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第二条</w:t>
      </w:r>
      <w:r>
        <w:rPr>
          <w:rFonts w:hint="eastAsia" w:ascii="宋体" w:hAnsi="宋体"/>
          <w:szCs w:val="32"/>
        </w:rPr>
        <w:t xml:space="preserve">  本条例所称服务业，是指从事有可能对居民生活环境造成不良影响的服务行业，包括：</w:t>
      </w:r>
    </w:p>
    <w:p>
      <w:pPr>
        <w:spacing w:beforeLines="0" w:afterLines="0" w:line="590" w:lineRule="exact"/>
        <w:ind w:firstLine="632" w:firstLineChars="200"/>
        <w:rPr>
          <w:rFonts w:hint="eastAsia" w:ascii="宋体" w:hAnsi="宋体"/>
          <w:szCs w:val="32"/>
        </w:rPr>
      </w:pPr>
      <w:r>
        <w:rPr>
          <w:rFonts w:hint="eastAsia" w:ascii="宋体" w:hAnsi="宋体"/>
          <w:szCs w:val="32"/>
        </w:rPr>
        <w:t>（一）宾馆、酒店等旅业项目；</w:t>
      </w:r>
    </w:p>
    <w:p>
      <w:pPr>
        <w:spacing w:beforeLines="0" w:afterLines="0" w:line="590" w:lineRule="exact"/>
        <w:ind w:firstLine="632" w:firstLineChars="200"/>
        <w:rPr>
          <w:rFonts w:hint="eastAsia" w:ascii="宋体" w:hAnsi="宋体"/>
          <w:szCs w:val="32"/>
        </w:rPr>
      </w:pPr>
      <w:r>
        <w:rPr>
          <w:rFonts w:hint="eastAsia" w:ascii="宋体" w:hAnsi="宋体"/>
          <w:szCs w:val="32"/>
        </w:rPr>
        <w:t>（二）酒楼、餐厅、酒吧等餐饮项目；</w:t>
      </w:r>
    </w:p>
    <w:p>
      <w:pPr>
        <w:spacing w:beforeLines="0" w:afterLines="0" w:line="590" w:lineRule="exact"/>
        <w:ind w:firstLine="632" w:firstLineChars="200"/>
        <w:rPr>
          <w:rFonts w:hint="eastAsia" w:ascii="宋体" w:hAnsi="宋体"/>
          <w:szCs w:val="32"/>
        </w:rPr>
      </w:pPr>
      <w:r>
        <w:rPr>
          <w:rFonts w:hint="eastAsia" w:ascii="宋体" w:hAnsi="宋体"/>
          <w:szCs w:val="32"/>
        </w:rPr>
        <w:t>（三）歌舞厅、溜冰场等文化、体育娱乐项目；</w:t>
      </w:r>
    </w:p>
    <w:p>
      <w:pPr>
        <w:spacing w:beforeLines="0" w:afterLines="0" w:line="590" w:lineRule="exact"/>
        <w:ind w:firstLine="632" w:firstLineChars="200"/>
        <w:rPr>
          <w:rFonts w:hint="eastAsia" w:ascii="宋体" w:hAnsi="宋体"/>
          <w:szCs w:val="32"/>
        </w:rPr>
      </w:pPr>
      <w:r>
        <w:rPr>
          <w:rFonts w:hint="eastAsia" w:ascii="宋体" w:hAnsi="宋体"/>
          <w:szCs w:val="32"/>
        </w:rPr>
        <w:t>（四）洗车、机动车维修等修配养护项目；</w:t>
      </w:r>
    </w:p>
    <w:p>
      <w:pPr>
        <w:spacing w:beforeLines="0" w:afterLines="0" w:line="590" w:lineRule="exact"/>
        <w:ind w:firstLine="632" w:firstLineChars="200"/>
        <w:rPr>
          <w:rFonts w:hint="eastAsia" w:ascii="宋体" w:hAnsi="宋体"/>
          <w:szCs w:val="32"/>
        </w:rPr>
      </w:pPr>
      <w:r>
        <w:rPr>
          <w:rFonts w:hint="eastAsia" w:ascii="宋体" w:hAnsi="宋体"/>
          <w:szCs w:val="32"/>
        </w:rPr>
        <w:t>（五）木材、石材、玻璃、金属、食品等加工项目；</w:t>
      </w:r>
    </w:p>
    <w:p>
      <w:pPr>
        <w:spacing w:beforeLines="0" w:afterLines="0" w:line="590" w:lineRule="exact"/>
        <w:ind w:firstLine="632" w:firstLineChars="200"/>
        <w:rPr>
          <w:rFonts w:hint="eastAsia" w:ascii="宋体" w:hAnsi="宋体"/>
          <w:szCs w:val="32"/>
        </w:rPr>
      </w:pPr>
      <w:r>
        <w:rPr>
          <w:rFonts w:hint="eastAsia" w:ascii="宋体" w:hAnsi="宋体"/>
          <w:szCs w:val="32"/>
        </w:rPr>
        <w:t>（六）其他有可能对居民生活环境造成不良影响的属于服务业的项目。</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第三条</w:t>
      </w:r>
      <w:r>
        <w:rPr>
          <w:rFonts w:hint="eastAsia" w:ascii="宋体" w:hAnsi="宋体"/>
          <w:szCs w:val="32"/>
        </w:rPr>
        <w:t xml:space="preserve">  本条例适用于本市行政区域内从事服务业的企业和个体经营者。</w:t>
      </w:r>
    </w:p>
    <w:p>
      <w:pPr>
        <w:spacing w:beforeLines="0" w:afterLines="0" w:line="590" w:lineRule="exact"/>
        <w:ind w:firstLine="632" w:firstLineChars="200"/>
        <w:rPr>
          <w:rFonts w:hint="eastAsia" w:ascii="宋体" w:hAnsi="宋体"/>
          <w:szCs w:val="32"/>
        </w:rPr>
      </w:pPr>
      <w:r>
        <w:rPr>
          <w:rFonts w:hint="eastAsia" w:ascii="宋体" w:hAnsi="宋体"/>
          <w:szCs w:val="32"/>
        </w:rPr>
        <w:t>单位和个体经营者自用的服务场所，适用本条例。</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第四条</w:t>
      </w:r>
      <w:r>
        <w:rPr>
          <w:rFonts w:hint="eastAsia" w:ascii="宋体" w:hAnsi="宋体"/>
          <w:szCs w:val="32"/>
        </w:rPr>
        <w:t xml:space="preserve">  环境保护行政主管部门(以下简称环保部门)对服务业的环境保护工作实施统一监督管理。</w:t>
      </w:r>
    </w:p>
    <w:p>
      <w:pPr>
        <w:spacing w:beforeLines="0" w:afterLines="0" w:line="590" w:lineRule="exact"/>
        <w:ind w:firstLine="632" w:firstLineChars="200"/>
        <w:rPr>
          <w:rFonts w:hint="eastAsia" w:ascii="宋体" w:hAnsi="宋体"/>
          <w:szCs w:val="32"/>
        </w:rPr>
      </w:pPr>
      <w:r>
        <w:rPr>
          <w:rFonts w:hint="eastAsia" w:ascii="宋体" w:hAnsi="宋体"/>
          <w:szCs w:val="32"/>
        </w:rPr>
        <w:t>工商、规划、文化、卫生、体育、建设、公安、水务、交通、安全监督、城市管理行政执法等部门，按照各自的职责协同环保部门做好本条例的实施工作。</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第五条 </w:t>
      </w:r>
      <w:r>
        <w:rPr>
          <w:rFonts w:hint="eastAsia" w:ascii="宋体" w:hAnsi="宋体"/>
          <w:szCs w:val="32"/>
        </w:rPr>
        <w:t xml:space="preserve"> 环保部门依法保护单位和个人的环境权利。</w:t>
      </w:r>
    </w:p>
    <w:p>
      <w:pPr>
        <w:spacing w:beforeLines="0" w:afterLines="0" w:line="590" w:lineRule="exact"/>
        <w:ind w:firstLine="632" w:firstLineChars="200"/>
        <w:rPr>
          <w:rFonts w:hint="eastAsia" w:ascii="宋体" w:hAnsi="宋体"/>
          <w:szCs w:val="32"/>
        </w:rPr>
      </w:pPr>
      <w:r>
        <w:rPr>
          <w:rFonts w:hint="eastAsia" w:ascii="宋体" w:hAnsi="宋体"/>
          <w:szCs w:val="32"/>
        </w:rPr>
        <w:t>对违反本条例的行为，任何单位和个人都有检举和控告的权利。</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第六条</w:t>
      </w:r>
      <w:r>
        <w:rPr>
          <w:rFonts w:hint="eastAsia" w:ascii="宋体" w:hAnsi="宋体"/>
          <w:szCs w:val="32"/>
        </w:rPr>
        <w:t xml:space="preserve">  服务项目的选址应当符合建设工程的使用功能和环境保护的要求。</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第七条</w:t>
      </w:r>
      <w:r>
        <w:rPr>
          <w:rFonts w:hint="eastAsia" w:ascii="宋体" w:hAnsi="宋体"/>
          <w:szCs w:val="32"/>
        </w:rPr>
        <w:t xml:space="preserve">  不得在住宅小区和有住宅使用功能的楼宇设立以下服务项目：</w:t>
      </w:r>
    </w:p>
    <w:p>
      <w:pPr>
        <w:spacing w:beforeLines="0" w:afterLines="0" w:line="590" w:lineRule="exact"/>
        <w:ind w:firstLine="632" w:firstLineChars="200"/>
        <w:rPr>
          <w:rFonts w:hint="eastAsia" w:ascii="宋体" w:hAnsi="宋体"/>
          <w:szCs w:val="32"/>
        </w:rPr>
      </w:pPr>
      <w:r>
        <w:rPr>
          <w:rFonts w:hint="eastAsia" w:ascii="宋体" w:hAnsi="宋体"/>
          <w:szCs w:val="32"/>
        </w:rPr>
        <w:t>（一）歌舞厅、迪士高舞厅；</w:t>
      </w:r>
    </w:p>
    <w:p>
      <w:pPr>
        <w:spacing w:beforeLines="0" w:afterLines="0" w:line="590" w:lineRule="exact"/>
        <w:ind w:firstLine="632" w:firstLineChars="200"/>
        <w:rPr>
          <w:rFonts w:hint="eastAsia" w:ascii="宋体" w:hAnsi="宋体"/>
          <w:szCs w:val="32"/>
        </w:rPr>
      </w:pPr>
      <w:r>
        <w:rPr>
          <w:rFonts w:hint="eastAsia" w:ascii="宋体" w:hAnsi="宋体"/>
          <w:szCs w:val="32"/>
        </w:rPr>
        <w:t>（二）机动车维修；</w:t>
      </w:r>
    </w:p>
    <w:p>
      <w:pPr>
        <w:spacing w:beforeLines="0" w:afterLines="0" w:line="590" w:lineRule="exact"/>
        <w:ind w:firstLine="632" w:firstLineChars="200"/>
        <w:rPr>
          <w:rFonts w:hint="eastAsia" w:ascii="宋体" w:hAnsi="宋体"/>
          <w:szCs w:val="32"/>
        </w:rPr>
      </w:pPr>
      <w:r>
        <w:rPr>
          <w:rFonts w:hint="eastAsia" w:ascii="宋体" w:hAnsi="宋体"/>
          <w:szCs w:val="32"/>
        </w:rPr>
        <w:t>（三）产生恶臭、有害气体的服务项目。</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第八条</w:t>
      </w:r>
      <w:r>
        <w:rPr>
          <w:rFonts w:hint="eastAsia" w:ascii="宋体" w:hAnsi="宋体"/>
          <w:szCs w:val="32"/>
        </w:rPr>
        <w:t xml:space="preserve">  不得在住宅楼设立本条例规定的服务项目。</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第九条</w:t>
      </w:r>
      <w:r>
        <w:rPr>
          <w:rFonts w:hint="eastAsia" w:ascii="宋体" w:hAnsi="宋体"/>
          <w:szCs w:val="32"/>
        </w:rPr>
        <w:t xml:space="preserve">  在住宅小区和有住宅使用功能的楼宇设立的经营木材、石材、玻璃、金属等服务项目，不得从事加工服务。</w:t>
      </w:r>
    </w:p>
    <w:p>
      <w:pPr>
        <w:spacing w:beforeLines="0" w:afterLines="0" w:line="590" w:lineRule="exact"/>
        <w:ind w:firstLine="632" w:firstLineChars="200"/>
        <w:rPr>
          <w:rFonts w:hint="eastAsia" w:ascii="宋体" w:hAnsi="宋体"/>
          <w:szCs w:val="32"/>
        </w:rPr>
      </w:pPr>
      <w:r>
        <w:rPr>
          <w:rFonts w:hint="eastAsia" w:ascii="宋体" w:hAnsi="宋体"/>
          <w:szCs w:val="32"/>
        </w:rPr>
        <w:t>违反规定的，由环保部门责令停止加工，并处一千元以上一万元以下的罚款。</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第十条</w:t>
      </w:r>
      <w:r>
        <w:rPr>
          <w:rFonts w:hint="eastAsia" w:ascii="宋体" w:hAnsi="宋体"/>
          <w:szCs w:val="32"/>
        </w:rPr>
        <w:t xml:space="preserve">  在有住宅使用功能的楼宇内设立产生油烟等废气污染的餐饮项目的，该楼宇必须设置经规划部门批准的专门烟道，且厨房必须与住宅楼层有一层或者一层以上的间隔。</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第十一条</w:t>
      </w:r>
      <w:r>
        <w:rPr>
          <w:rFonts w:hint="eastAsia" w:ascii="宋体" w:hAnsi="宋体"/>
          <w:szCs w:val="32"/>
        </w:rPr>
        <w:t xml:space="preserve">  新建、改建、扩建服务项目，按照法律、法规的规定需要提交环境影响报告书、报告表或者登记表的，报环保部门依法审批或者备案。选址不符合条例第七条、第八条、第九条、第十条规定的，环保部门不予批准环境影响报告书、报告表，或者确认环境影响登记表备案无效。</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第十二条</w:t>
      </w:r>
      <w:r>
        <w:rPr>
          <w:rFonts w:hint="eastAsia" w:ascii="宋体" w:hAnsi="宋体"/>
          <w:szCs w:val="32"/>
        </w:rPr>
        <w:t xml:space="preserve">  房地产开发商和商铺业主不得向购房者或者承租者作出违反本条例规定的服务项目选址承诺。</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第十三条 </w:t>
      </w:r>
      <w:r>
        <w:rPr>
          <w:rFonts w:hint="eastAsia" w:ascii="宋体" w:hAnsi="宋体"/>
          <w:szCs w:val="32"/>
        </w:rPr>
        <w:t xml:space="preserve"> 建设单位在申报的规划设计图纸中设计有专门烟道，并经规划部门批准的，方可作为开设产生油烟污染的餐饮项目的选址。</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第十四条 </w:t>
      </w:r>
      <w:r>
        <w:rPr>
          <w:rFonts w:hint="eastAsia" w:ascii="宋体" w:hAnsi="宋体"/>
          <w:szCs w:val="32"/>
        </w:rPr>
        <w:t xml:space="preserve"> 油烟必须通过专门的烟道排放，禁止向城市地下管网排放油烟。</w:t>
      </w:r>
    </w:p>
    <w:p>
      <w:pPr>
        <w:spacing w:beforeLines="0" w:afterLines="0" w:line="590" w:lineRule="exact"/>
        <w:ind w:firstLine="632" w:firstLineChars="200"/>
        <w:rPr>
          <w:rFonts w:hint="eastAsia" w:ascii="宋体" w:hAnsi="宋体"/>
          <w:szCs w:val="32"/>
        </w:rPr>
      </w:pPr>
      <w:r>
        <w:rPr>
          <w:rFonts w:hint="eastAsia" w:ascii="宋体" w:hAnsi="宋体"/>
          <w:szCs w:val="32"/>
        </w:rPr>
        <w:t>违反规定，向城市地下管网排放油烟的，由城市管理行政执法部门责令停止生产、经营、使用；拒不改正的，处五千元以上二万元以下的罚款；情节严重，危及城镇排水设施安全的，按照《城镇排水与污水处理条例》相关规定予以处罚。</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第十五条</w:t>
      </w:r>
      <w:r>
        <w:rPr>
          <w:rFonts w:hint="eastAsia" w:ascii="宋体" w:hAnsi="宋体"/>
          <w:szCs w:val="32"/>
        </w:rPr>
        <w:t xml:space="preserve">  产生污水的餐饮场所必须设置隔油池或者其他污水处理设施。潲水及其他残渣废物必须妥善收集，由专业单位处理，不得排入城市地下管网或者随便倾倒。</w:t>
      </w:r>
    </w:p>
    <w:p>
      <w:pPr>
        <w:spacing w:beforeLines="0" w:afterLines="0" w:line="590" w:lineRule="exact"/>
        <w:ind w:firstLine="632" w:firstLineChars="200"/>
        <w:rPr>
          <w:rFonts w:hint="eastAsia" w:ascii="宋体" w:hAnsi="宋体"/>
          <w:szCs w:val="32"/>
        </w:rPr>
      </w:pPr>
      <w:r>
        <w:rPr>
          <w:rFonts w:hint="eastAsia" w:ascii="宋体" w:hAnsi="宋体"/>
          <w:szCs w:val="32"/>
        </w:rPr>
        <w:t>修配加工场所产生的废油或者其他固体含油废物，不得排入城市地下管网或者随便倾倒，应当按有关标准自行处理或者由专业单位处理。</w:t>
      </w:r>
    </w:p>
    <w:p>
      <w:pPr>
        <w:spacing w:beforeLines="0" w:afterLines="0" w:line="590" w:lineRule="exact"/>
        <w:ind w:firstLine="632" w:firstLineChars="200"/>
        <w:rPr>
          <w:rFonts w:hint="eastAsia" w:ascii="宋体" w:hAnsi="宋体"/>
          <w:szCs w:val="32"/>
        </w:rPr>
      </w:pPr>
      <w:r>
        <w:rPr>
          <w:rFonts w:hint="eastAsia" w:ascii="宋体" w:hAnsi="宋体"/>
          <w:szCs w:val="32"/>
        </w:rPr>
        <w:t>违反规定排放潲水、其他残渣废物、废油或者其他固体含油废物的，由城市管理行政执法部门责令停止违法行为，并处一千元以上一万元以下的罚款；情节严重，危及城镇排水设施安全的，按照《城镇排水与污水处理条例》相关规定予以处罚。</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第十六条</w:t>
      </w:r>
      <w:r>
        <w:rPr>
          <w:rFonts w:hint="eastAsia" w:ascii="宋体" w:hAnsi="宋体"/>
          <w:szCs w:val="32"/>
        </w:rPr>
        <w:t xml:space="preserve">  本市禁燃区内的服务项目不得使用煤、重油或者柴禾做燃料。</w:t>
      </w:r>
    </w:p>
    <w:p>
      <w:pPr>
        <w:spacing w:beforeLines="0" w:afterLines="0" w:line="590" w:lineRule="exact"/>
        <w:ind w:firstLine="632" w:firstLineChars="200"/>
        <w:rPr>
          <w:rFonts w:hint="eastAsia" w:ascii="宋体" w:hAnsi="宋体"/>
          <w:szCs w:val="32"/>
        </w:rPr>
      </w:pPr>
      <w:r>
        <w:rPr>
          <w:rFonts w:hint="eastAsia" w:ascii="宋体" w:hAnsi="宋体"/>
          <w:szCs w:val="32"/>
        </w:rPr>
        <w:t>违反规定的，按照《中华人民共和国大气污染防治法》相关规定予以处罚。</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第十七条</w:t>
      </w:r>
      <w:r>
        <w:rPr>
          <w:rFonts w:hint="eastAsia" w:ascii="宋体" w:hAnsi="宋体"/>
          <w:szCs w:val="32"/>
        </w:rPr>
        <w:t xml:space="preserve">  不得在经营活动中使用高音广播喇叭或者采用其他发出高噪声的方法招揽顾客。</w:t>
      </w:r>
    </w:p>
    <w:p>
      <w:pPr>
        <w:spacing w:beforeLines="0" w:afterLines="0" w:line="590" w:lineRule="exact"/>
        <w:ind w:firstLine="632" w:firstLineChars="200"/>
        <w:rPr>
          <w:rFonts w:hint="eastAsia" w:ascii="宋体" w:hAnsi="宋体"/>
          <w:szCs w:val="32"/>
        </w:rPr>
      </w:pPr>
      <w:r>
        <w:rPr>
          <w:rFonts w:hint="eastAsia" w:ascii="宋体" w:hAnsi="宋体"/>
          <w:szCs w:val="32"/>
        </w:rPr>
        <w:t>违反规定的，由城市管理行政执法部门责令改正，并处二百元以上一千元以下的罚款。</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第十八条</w:t>
      </w:r>
      <w:r>
        <w:rPr>
          <w:rFonts w:hint="eastAsia" w:ascii="宋体" w:hAnsi="宋体"/>
          <w:szCs w:val="32"/>
        </w:rPr>
        <w:t xml:space="preserve">  编制环境影响报告书、环境影响报告表的服务项目竣工后，建设单位应当按照国务院环境保护行政主管部门规定的标准和程序，对配套建设的环境保护设施进行验收，编制验收报告。</w:t>
      </w:r>
    </w:p>
    <w:p>
      <w:pPr>
        <w:spacing w:beforeLines="0" w:afterLines="0" w:line="590" w:lineRule="exact"/>
        <w:ind w:firstLine="632" w:firstLineChars="200"/>
        <w:rPr>
          <w:rFonts w:hint="eastAsia" w:ascii="宋体" w:hAnsi="宋体"/>
          <w:szCs w:val="32"/>
        </w:rPr>
      </w:pPr>
      <w:r>
        <w:rPr>
          <w:rFonts w:hint="eastAsia" w:ascii="宋体" w:hAnsi="宋体"/>
          <w:szCs w:val="32"/>
        </w:rPr>
        <w:t>服务项目配套建设的环境保护设施未经验收或者验收不合格的，不得投入正式生产、经营、使用。</w:t>
      </w:r>
    </w:p>
    <w:p>
      <w:pPr>
        <w:spacing w:beforeLines="0" w:afterLines="0" w:line="590" w:lineRule="exact"/>
        <w:ind w:firstLine="632" w:firstLineChars="200"/>
        <w:rPr>
          <w:rFonts w:hint="eastAsia" w:ascii="宋体" w:hAnsi="宋体"/>
          <w:szCs w:val="32"/>
        </w:rPr>
      </w:pPr>
      <w:r>
        <w:rPr>
          <w:rFonts w:hint="eastAsia" w:ascii="宋体" w:hAnsi="宋体"/>
          <w:szCs w:val="32"/>
        </w:rPr>
        <w:t>违反规定，需要配套建设的环境保护设施未建成、未经验收或者验收不合格，服务项目即投入生产、经营或者使用的，由环保部门责令限期改正，处二十万元以上一百万元以下的罚款；逾期不改正的，处一百万元以上两百万元以下的罚款；对直接负责的主管人员和其他责任人员，处五万元以上二十万元以下的罚款；造成重大环境污染或者生态破坏的，责令停止生产或者使用，或者报经有批准权的人民政府批准，责令关闭。</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第十九条</w:t>
      </w:r>
      <w:r>
        <w:rPr>
          <w:rFonts w:hint="eastAsia" w:ascii="宋体" w:hAnsi="宋体"/>
          <w:szCs w:val="32"/>
        </w:rPr>
        <w:t xml:space="preserve">  服务项目的环境保护设施必须保持正常运转，未经环保部门批准，不得擅自拆除或者闲置环境保护设施。</w:t>
      </w:r>
    </w:p>
    <w:p>
      <w:pPr>
        <w:spacing w:beforeLines="0" w:afterLines="0" w:line="590" w:lineRule="exact"/>
        <w:ind w:firstLine="632" w:firstLineChars="200"/>
        <w:rPr>
          <w:rFonts w:hint="eastAsia" w:ascii="宋体" w:hAnsi="宋体"/>
          <w:szCs w:val="32"/>
        </w:rPr>
      </w:pPr>
      <w:r>
        <w:rPr>
          <w:rFonts w:hint="eastAsia" w:ascii="宋体" w:hAnsi="宋体"/>
          <w:szCs w:val="32"/>
        </w:rPr>
        <w:t>违反规定的，按照有关法律法规进行处罚。</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第二十条</w:t>
      </w:r>
      <w:r>
        <w:rPr>
          <w:rFonts w:hint="eastAsia" w:ascii="宋体" w:hAnsi="宋体"/>
          <w:szCs w:val="32"/>
        </w:rPr>
        <w:t xml:space="preserve">  服务项目依法执行排污申报制度和排污许可证制度。</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第二十一条 </w:t>
      </w:r>
      <w:r>
        <w:rPr>
          <w:rFonts w:hint="eastAsia" w:ascii="宋体" w:hAnsi="宋体"/>
          <w:szCs w:val="32"/>
        </w:rPr>
        <w:t xml:space="preserve"> 服务项目排放污染物不得超过国家或者地方规定的污染物排放标准。超过污染物排放标准排放污染物的，按照有关法律法规进行处罚。</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第二十二条</w:t>
      </w:r>
      <w:r>
        <w:rPr>
          <w:rFonts w:hint="eastAsia" w:ascii="宋体" w:hAnsi="宋体"/>
          <w:szCs w:val="32"/>
        </w:rPr>
        <w:t xml:space="preserve">  环保部门依照本条例的规定，组织对污染源的监测，做好环境整治规划，查处污染事故，处理污染投诉，并协调有关部门对服务业的环境保护实施监督管理。</w:t>
      </w:r>
    </w:p>
    <w:p>
      <w:pPr>
        <w:spacing w:beforeLines="0" w:afterLines="0" w:line="590" w:lineRule="exact"/>
        <w:ind w:firstLine="632" w:firstLineChars="200"/>
        <w:rPr>
          <w:rFonts w:hint="eastAsia" w:ascii="宋体" w:hAnsi="宋体"/>
          <w:szCs w:val="32"/>
        </w:rPr>
      </w:pPr>
      <w:r>
        <w:rPr>
          <w:rFonts w:hint="eastAsia" w:ascii="宋体" w:hAnsi="宋体"/>
          <w:szCs w:val="32"/>
        </w:rPr>
        <w:t>环保部门应加强指导服务业的污染防治工作。</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第二十三条</w:t>
      </w:r>
      <w:r>
        <w:rPr>
          <w:rFonts w:hint="eastAsia" w:ascii="宋体" w:hAnsi="宋体"/>
          <w:szCs w:val="32"/>
        </w:rPr>
        <w:t xml:space="preserve">  环保部门及其他监督管理部门，依法对其管辖范围内的服务项目进行经常性的检查，发现问题，及时处理。被检查者要如实反映情况，提供必要的资料，不得阻挠、延误检查或者谎报、瞒报、拒报。</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第二十四条</w:t>
      </w:r>
      <w:r>
        <w:rPr>
          <w:rFonts w:hint="eastAsia" w:ascii="宋体" w:hAnsi="宋体"/>
          <w:szCs w:val="32"/>
        </w:rPr>
        <w:t xml:space="preserve">  执法部门应当根据服务项目的规模大小、造成污染的程度等情节，确定违法者所应承担的法律责任。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第二十五条</w:t>
      </w:r>
      <w:r>
        <w:rPr>
          <w:rFonts w:hint="eastAsia" w:ascii="宋体" w:hAnsi="宋体"/>
          <w:szCs w:val="32"/>
        </w:rPr>
        <w:t xml:space="preserve">  被处以警告、罚款的服务项目，不免除消除污染、排除危害和赔偿损失的责任。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第二十六条</w:t>
      </w:r>
      <w:r>
        <w:rPr>
          <w:rFonts w:hint="eastAsia" w:ascii="宋体" w:hAnsi="宋体"/>
          <w:szCs w:val="32"/>
        </w:rPr>
        <w:t xml:space="preserve">  环保部门或者其他监督管理部门的工作人员滥用职权、玩忽职守、徇私舞弊，依法给予行政处分；构成犯罪的，依法追究刑事责任。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第二十七条</w:t>
      </w:r>
      <w:r>
        <w:rPr>
          <w:rFonts w:hint="eastAsia" w:ascii="宋体" w:hAnsi="宋体"/>
          <w:szCs w:val="32"/>
        </w:rPr>
        <w:t xml:space="preserve">  阻碍环保部门和其他监督管理部门及其执法人员依法执行公务，违反治安管理规定的，由公安部门依照国家有关法律予以处罚；构成犯罪的，依法追究刑事责任。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第二十八条</w:t>
      </w:r>
      <w:r>
        <w:rPr>
          <w:rFonts w:hint="eastAsia" w:ascii="宋体" w:hAnsi="宋体"/>
          <w:szCs w:val="32"/>
        </w:rPr>
        <w:t xml:space="preserve">  本条例实施前合法设立和经营的服务项目，不符合本条例第七条、第八条和第十条规定的，可以自行搬迁；继续在原经营地址经营的，污染物排放必须符合环境法律、法规的规定；不符合规定的，由环保部门责令限期改正，逾期未完成改正任务的，由环保部门提请同级人民政府责令其停业、关闭。同级人民政府应当自受理环保部门的申请之日起七个工作日内作出责令其停业、关闭的决定。</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第二十九条</w:t>
      </w:r>
      <w:r>
        <w:rPr>
          <w:rFonts w:hint="eastAsia" w:ascii="宋体" w:hAnsi="宋体"/>
          <w:szCs w:val="32"/>
        </w:rPr>
        <w:t xml:space="preserve">  本条例下列用语的含义是：</w:t>
      </w:r>
    </w:p>
    <w:p>
      <w:pPr>
        <w:spacing w:beforeLines="0" w:afterLines="0" w:line="590" w:lineRule="exact"/>
        <w:ind w:firstLine="632" w:firstLineChars="200"/>
        <w:rPr>
          <w:rFonts w:hint="eastAsia" w:ascii="宋体" w:hAnsi="宋体"/>
          <w:szCs w:val="32"/>
        </w:rPr>
      </w:pPr>
      <w:r>
        <w:rPr>
          <w:rFonts w:hint="eastAsia" w:ascii="宋体" w:hAnsi="宋体"/>
          <w:szCs w:val="32"/>
        </w:rPr>
        <w:t>“楼层间隔”是指经规划部门批准的建筑物的楼层。</w:t>
      </w:r>
    </w:p>
    <w:p>
      <w:pPr>
        <w:spacing w:beforeLines="0" w:afterLines="0" w:line="590" w:lineRule="exact"/>
        <w:ind w:firstLine="632" w:firstLineChars="200"/>
        <w:rPr>
          <w:rFonts w:hint="eastAsia" w:ascii="宋体" w:hAnsi="宋体"/>
          <w:szCs w:val="32"/>
        </w:rPr>
      </w:pPr>
      <w:r>
        <w:rPr>
          <w:rFonts w:hint="eastAsia" w:ascii="宋体" w:hAnsi="宋体"/>
          <w:szCs w:val="32"/>
        </w:rPr>
        <w:t>“住宅楼”是指在规划功能上从首层至顶楼全部为住宅使用功能的建筑物。</w:t>
      </w:r>
    </w:p>
    <w:p>
      <w:pPr>
        <w:spacing w:beforeLines="0" w:afterLines="0" w:line="590" w:lineRule="exact"/>
        <w:ind w:firstLine="632" w:firstLineChars="200"/>
        <w:rPr>
          <w:rFonts w:hint="eastAsia" w:ascii="宋体" w:hAnsi="宋体"/>
          <w:szCs w:val="32"/>
        </w:rPr>
      </w:pPr>
      <w:r>
        <w:rPr>
          <w:rFonts w:hint="eastAsia" w:ascii="宋体" w:hAnsi="宋体"/>
          <w:szCs w:val="32"/>
        </w:rPr>
        <w:t>“有住宅使用功能的楼宇”是指在规划功能上部分为住宅使用功能，部分为其他使用功能的建筑物。</w:t>
      </w:r>
    </w:p>
    <w:p>
      <w:pPr>
        <w:spacing w:beforeLines="0" w:afterLines="0" w:line="590" w:lineRule="exact"/>
        <w:ind w:firstLine="632" w:firstLineChars="200"/>
        <w:rPr>
          <w:rFonts w:hint="eastAsia" w:ascii="宋体" w:hAnsi="宋体"/>
          <w:szCs w:val="32"/>
        </w:rPr>
      </w:pPr>
      <w:r>
        <w:rPr>
          <w:rFonts w:hint="eastAsia" w:ascii="宋体" w:hAnsi="宋体"/>
          <w:szCs w:val="32"/>
        </w:rPr>
        <w:t>“住宅小区”是指按照城市的规划，配套建设的成规模的居住生活聚居地。</w:t>
      </w:r>
    </w:p>
    <w:p>
      <w:pPr>
        <w:spacing w:beforeLines="0" w:afterLines="0" w:line="590" w:lineRule="exact"/>
        <w:ind w:firstLine="632" w:firstLineChars="200"/>
        <w:rPr>
          <w:rFonts w:hint="default" w:ascii="宋体" w:hAnsi="宋体" w:eastAsia="仿宋_GB2312"/>
          <w:sz w:val="32"/>
          <w:szCs w:val="32"/>
        </w:rPr>
      </w:pPr>
      <w:r>
        <w:rPr>
          <w:rFonts w:hint="eastAsia" w:ascii="宋体" w:hAnsi="宋体" w:eastAsia="黑体"/>
          <w:szCs w:val="32"/>
        </w:rPr>
        <w:t>第三十条</w:t>
      </w:r>
      <w:r>
        <w:rPr>
          <w:rFonts w:hint="eastAsia" w:ascii="宋体" w:hAnsi="宋体"/>
          <w:szCs w:val="32"/>
        </w:rPr>
        <w:t xml:space="preserve">  </w:t>
      </w:r>
      <w:r>
        <w:rPr>
          <w:rFonts w:hint="default" w:ascii="宋体" w:hAnsi="宋体" w:eastAsia="仿宋_GB2312"/>
          <w:sz w:val="32"/>
          <w:szCs w:val="32"/>
        </w:rPr>
        <w:t>本条例自</w:t>
      </w:r>
      <w:r>
        <w:rPr>
          <w:rFonts w:hint="eastAsia" w:ascii="宋体" w:hAnsi="宋体" w:eastAsia="宋体" w:cs="宋体"/>
          <w:sz w:val="32"/>
          <w:szCs w:val="32"/>
        </w:rPr>
        <w:t>2006</w:t>
      </w:r>
      <w:r>
        <w:rPr>
          <w:rFonts w:hint="default" w:ascii="宋体" w:hAnsi="宋体" w:eastAsia="仿宋_GB2312"/>
          <w:sz w:val="32"/>
          <w:szCs w:val="32"/>
        </w:rPr>
        <w:t>年</w:t>
      </w:r>
      <w:r>
        <w:rPr>
          <w:rFonts w:hint="default" w:ascii="宋体" w:hAnsi="宋体" w:eastAsia="宋体" w:cs="宋体"/>
          <w:sz w:val="32"/>
          <w:szCs w:val="32"/>
        </w:rPr>
        <w:t>7</w:t>
      </w:r>
      <w:r>
        <w:rPr>
          <w:rFonts w:hint="default" w:ascii="宋体" w:hAnsi="宋体" w:eastAsia="仿宋_GB2312"/>
          <w:sz w:val="32"/>
          <w:szCs w:val="32"/>
        </w:rPr>
        <w:t>月</w:t>
      </w:r>
      <w:r>
        <w:rPr>
          <w:rFonts w:hint="default" w:ascii="宋体" w:hAnsi="宋体" w:eastAsia="宋体" w:cs="宋体"/>
          <w:sz w:val="32"/>
          <w:szCs w:val="32"/>
        </w:rPr>
        <w:t>1</w:t>
      </w:r>
      <w:r>
        <w:rPr>
          <w:rFonts w:hint="default" w:ascii="宋体" w:hAnsi="宋体" w:eastAsia="仿宋_GB2312"/>
          <w:sz w:val="32"/>
          <w:szCs w:val="32"/>
        </w:rPr>
        <w:t>日起施行。</w:t>
      </w:r>
    </w:p>
    <w:p>
      <w:pPr>
        <w:spacing w:beforeLines="0" w:afterLines="0" w:line="590" w:lineRule="exact"/>
        <w:ind w:firstLine="632" w:firstLineChars="200"/>
        <w:rPr>
          <w:rFonts w:hint="default" w:ascii="宋体" w:hAnsi="宋体" w:eastAsia="仿宋_GB2312"/>
          <w:sz w:val="32"/>
          <w:szCs w:val="32"/>
        </w:rPr>
      </w:pPr>
      <w:r>
        <w:rPr>
          <w:rFonts w:hint="default" w:ascii="宋体" w:hAnsi="宋体" w:eastAsia="宋体" w:cs="宋体"/>
          <w:sz w:val="32"/>
          <w:szCs w:val="32"/>
        </w:rPr>
        <w:t>1997</w:t>
      </w:r>
      <w:r>
        <w:rPr>
          <w:rFonts w:hint="default" w:ascii="宋体" w:hAnsi="宋体" w:eastAsia="仿宋_GB2312"/>
          <w:sz w:val="32"/>
          <w:szCs w:val="32"/>
        </w:rPr>
        <w:t>年</w:t>
      </w:r>
      <w:r>
        <w:rPr>
          <w:rFonts w:hint="default" w:ascii="宋体" w:hAnsi="宋体" w:eastAsia="宋体" w:cs="宋体"/>
          <w:sz w:val="32"/>
          <w:szCs w:val="32"/>
        </w:rPr>
        <w:t>8</w:t>
      </w:r>
      <w:r>
        <w:rPr>
          <w:rFonts w:hint="default" w:ascii="宋体" w:hAnsi="宋体" w:eastAsia="仿宋_GB2312"/>
          <w:sz w:val="32"/>
          <w:szCs w:val="32"/>
        </w:rPr>
        <w:t>月</w:t>
      </w:r>
      <w:r>
        <w:rPr>
          <w:rFonts w:hint="default" w:ascii="宋体" w:hAnsi="宋体" w:eastAsia="宋体" w:cs="宋体"/>
          <w:sz w:val="32"/>
          <w:szCs w:val="32"/>
        </w:rPr>
        <w:t>1</w:t>
      </w:r>
      <w:r>
        <w:rPr>
          <w:rFonts w:hint="default" w:ascii="宋体" w:hAnsi="宋体" w:eastAsia="仿宋_GB2312"/>
          <w:sz w:val="32"/>
          <w:szCs w:val="32"/>
        </w:rPr>
        <w:t>日施行的《珠海市饮食娱乐服务企业环境管理条例》同时废止。</w:t>
      </w:r>
    </w:p>
    <w:p>
      <w:pPr>
        <w:pStyle w:val="25"/>
        <w:spacing w:beforeLines="0" w:afterLines="0" w:line="590" w:lineRule="exact"/>
        <w:rPr>
          <w:rFonts w:ascii="宋体" w:hAnsi="宋体" w:eastAsia="仿宋_GB2312" w:cs="Arial"/>
          <w:sz w:val="32"/>
          <w:szCs w:val="32"/>
        </w:rPr>
      </w:pPr>
    </w:p>
    <w:p>
      <w:pPr>
        <w:pStyle w:val="25"/>
        <w:spacing w:beforeLines="0" w:afterLines="0" w:line="590" w:lineRule="exact"/>
        <w:rPr>
          <w:rFonts w:ascii="宋体" w:hAnsi="宋体" w:eastAsia="仿宋_GB2312" w:cs="Arial"/>
          <w:sz w:val="32"/>
          <w:szCs w:val="32"/>
        </w:rPr>
      </w:pPr>
    </w:p>
    <w:p>
      <w:pPr>
        <w:pStyle w:val="25"/>
        <w:spacing w:beforeLines="0" w:afterLines="0" w:line="590" w:lineRule="exact"/>
        <w:rPr>
          <w:rFonts w:ascii="宋体" w:hAnsi="宋体" w:eastAsia="仿宋_GB2312" w:cs="Arial"/>
          <w:sz w:val="32"/>
          <w:szCs w:val="32"/>
        </w:rPr>
      </w:pPr>
    </w:p>
    <w:p>
      <w:pPr>
        <w:pStyle w:val="25"/>
        <w:spacing w:beforeLines="0" w:afterLines="0" w:line="590" w:lineRule="exact"/>
        <w:rPr>
          <w:rFonts w:hint="eastAsia" w:ascii="宋体" w:hAnsi="宋体" w:eastAsia="仿宋_GB2312" w:cs="仿宋_GB2312"/>
          <w:sz w:val="32"/>
          <w:szCs w:val="32"/>
        </w:rPr>
      </w:pPr>
      <w:bookmarkStart w:id="0" w:name="_GoBack"/>
      <w:bookmarkEnd w:id="0"/>
    </w:p>
    <w:sectPr>
      <w:headerReference r:id="rId3" w:type="default"/>
      <w:footerReference r:id="rId5" w:type="default"/>
      <w:headerReference r:id="rId4" w:type="even"/>
      <w:footerReference r:id="rId6"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54E28"/>
    <w:rsid w:val="03CC0B2C"/>
    <w:rsid w:val="04802113"/>
    <w:rsid w:val="07B45BF7"/>
    <w:rsid w:val="082B469B"/>
    <w:rsid w:val="0B106724"/>
    <w:rsid w:val="0CBC6C79"/>
    <w:rsid w:val="1133763B"/>
    <w:rsid w:val="11833DFA"/>
    <w:rsid w:val="123E5CE8"/>
    <w:rsid w:val="13F16B2F"/>
    <w:rsid w:val="161865CC"/>
    <w:rsid w:val="174C7805"/>
    <w:rsid w:val="18BB3185"/>
    <w:rsid w:val="19927AC7"/>
    <w:rsid w:val="1BCB734B"/>
    <w:rsid w:val="1CCE19BE"/>
    <w:rsid w:val="22262EED"/>
    <w:rsid w:val="256C722A"/>
    <w:rsid w:val="2AC2582C"/>
    <w:rsid w:val="2ECB7768"/>
    <w:rsid w:val="30BA0056"/>
    <w:rsid w:val="324B14E6"/>
    <w:rsid w:val="35A74CA0"/>
    <w:rsid w:val="37984CAD"/>
    <w:rsid w:val="385F5A05"/>
    <w:rsid w:val="3A335652"/>
    <w:rsid w:val="3CBF32F8"/>
    <w:rsid w:val="3DC8759E"/>
    <w:rsid w:val="3EC343F0"/>
    <w:rsid w:val="3EDC4A01"/>
    <w:rsid w:val="3F0871E0"/>
    <w:rsid w:val="3FF147D7"/>
    <w:rsid w:val="40794631"/>
    <w:rsid w:val="42554E28"/>
    <w:rsid w:val="42781777"/>
    <w:rsid w:val="45725EE5"/>
    <w:rsid w:val="4710621E"/>
    <w:rsid w:val="49617A6A"/>
    <w:rsid w:val="4A330DBA"/>
    <w:rsid w:val="4D62238A"/>
    <w:rsid w:val="55643971"/>
    <w:rsid w:val="5DF40D29"/>
    <w:rsid w:val="5F98268D"/>
    <w:rsid w:val="61913565"/>
    <w:rsid w:val="62616897"/>
    <w:rsid w:val="65BB22F2"/>
    <w:rsid w:val="67794BF8"/>
    <w:rsid w:val="6CED25D5"/>
    <w:rsid w:val="73F135F2"/>
    <w:rsid w:val="763340DB"/>
    <w:rsid w:val="7DAA5D49"/>
    <w:rsid w:val="7EB84AFD"/>
    <w:rsid w:val="7EF864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ahoma" w:eastAsia="仿宋_GB2312" w:cs="Times New Roman"/>
      <w:kern w:val="2"/>
      <w:sz w:val="32"/>
      <w:szCs w:val="32"/>
      <w:lang w:val="en-US" w:eastAsia="zh-CN" w:bidi="ar-SA"/>
    </w:rPr>
  </w:style>
  <w:style w:type="paragraph" w:styleId="2">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Body Text"/>
    <w:basedOn w:val="1"/>
    <w:qFormat/>
    <w:uiPriority w:val="0"/>
    <w:rPr>
      <w:rFonts w:eastAsia="宋体"/>
      <w:sz w:val="44"/>
      <w:szCs w:val="24"/>
    </w:rPr>
  </w:style>
  <w:style w:type="paragraph" w:styleId="4">
    <w:name w:val="Plain Text"/>
    <w:basedOn w:val="1"/>
    <w:qFormat/>
    <w:uiPriority w:val="0"/>
    <w:rPr>
      <w:rFonts w:ascii="宋体" w:hAnsi="Courier New" w:eastAsia="宋体" w:cs="Courier New"/>
      <w:sz w:val="21"/>
      <w:szCs w:val="21"/>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9">
    <w:name w:val="正文 A"/>
    <w:qFormat/>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10">
    <w:name w:val="Normal (Web)"/>
    <w:basedOn w:val="1"/>
    <w:qFormat/>
    <w:uiPriority w:val="0"/>
    <w:rPr>
      <w:rFonts w:hint="eastAsia" w:ascii="Calibri" w:hAnsi="Calibri"/>
      <w:sz w:val="24"/>
    </w:rPr>
  </w:style>
  <w:style w:type="paragraph" w:customStyle="1" w:styleId="11">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2">
    <w:name w:val="正文 New New"/>
    <w:uiPriority w:val="0"/>
    <w:pPr>
      <w:widowControl w:val="0"/>
      <w:jc w:val="both"/>
    </w:pPr>
    <w:rPr>
      <w:rFonts w:ascii="仿宋_GB2312" w:hAnsi="Tahoma" w:eastAsia="仿宋_GB2312" w:cs="Times New Roman"/>
      <w:kern w:val="2"/>
      <w:sz w:val="32"/>
      <w:szCs w:val="32"/>
      <w:lang w:val="en-US" w:eastAsia="zh-CN" w:bidi="ar-SA"/>
    </w:rPr>
  </w:style>
  <w:style w:type="paragraph" w:customStyle="1" w:styleId="13">
    <w:name w:val="p0"/>
    <w:basedOn w:val="1"/>
    <w:qFormat/>
    <w:uiPriority w:val="0"/>
    <w:pPr>
      <w:widowControl/>
    </w:pPr>
    <w:rPr>
      <w:rFonts w:hint="eastAsia" w:ascii="宋体" w:hAnsi="宋体"/>
      <w:sz w:val="32"/>
    </w:rPr>
  </w:style>
  <w:style w:type="paragraph" w:customStyle="1" w:styleId="14">
    <w:name w:val="正文 New New New New New New New New New New New New New New"/>
    <w:qFormat/>
    <w:uiPriority w:val="0"/>
    <w:pPr>
      <w:widowControl w:val="0"/>
      <w:jc w:val="both"/>
    </w:pPr>
    <w:rPr>
      <w:rFonts w:ascii="仿宋_GB2312" w:hAnsi="Tahoma" w:eastAsia="仿宋_GB2312" w:cs="Times New Roman"/>
      <w:kern w:val="2"/>
      <w:sz w:val="21"/>
      <w:lang w:val="en-US" w:eastAsia="zh-CN" w:bidi="ar-SA"/>
    </w:rPr>
  </w:style>
  <w:style w:type="paragraph" w:customStyle="1" w:styleId="15">
    <w:name w:val="正文 New New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16">
    <w:name w:val="正文 New New New New New New"/>
    <w:qFormat/>
    <w:uiPriority w:val="0"/>
    <w:pPr>
      <w:widowControl w:val="0"/>
      <w:jc w:val="both"/>
    </w:pPr>
    <w:rPr>
      <w:rFonts w:ascii="仿宋_GB2312" w:hAnsi="Tahoma" w:eastAsia="仿宋_GB2312" w:cs="Times New Roman"/>
      <w:kern w:val="2"/>
      <w:sz w:val="21"/>
      <w:lang w:val="en-US" w:eastAsia="zh-CN" w:bidi="ar-SA"/>
    </w:rPr>
  </w:style>
  <w:style w:type="paragraph" w:customStyle="1" w:styleId="17">
    <w:name w:val="正文 New New New New New New New"/>
    <w:qFormat/>
    <w:uiPriority w:val="0"/>
    <w:pPr>
      <w:widowControl w:val="0"/>
      <w:jc w:val="both"/>
    </w:pPr>
    <w:rPr>
      <w:rFonts w:ascii="仿宋_GB2312" w:hAnsi="Tahoma" w:eastAsia="仿宋_GB2312" w:cs="Times New Roman"/>
      <w:kern w:val="2"/>
      <w:sz w:val="21"/>
      <w:szCs w:val="24"/>
      <w:lang w:val="en-US" w:eastAsia="zh-CN" w:bidi="ar-SA"/>
    </w:rPr>
  </w:style>
  <w:style w:type="paragraph" w:customStyle="1" w:styleId="18">
    <w:name w:val="List Paragraph"/>
    <w:basedOn w:val="1"/>
    <w:qFormat/>
    <w:uiPriority w:val="99"/>
    <w:pPr>
      <w:widowControl w:val="0"/>
      <w:ind w:firstLine="420"/>
      <w:jc w:val="both"/>
    </w:pPr>
    <w:rPr>
      <w:rFonts w:ascii="Calibri" w:hAnsi="Calibri" w:eastAsia="宋体" w:cs="Calibri"/>
      <w:color w:val="000000"/>
      <w:kern w:val="2"/>
      <w:sz w:val="21"/>
      <w:szCs w:val="21"/>
      <w:u w:val="none" w:color="000000"/>
      <w:lang w:eastAsia="zh-CN"/>
    </w:rPr>
  </w:style>
  <w:style w:type="paragraph" w:customStyle="1" w:styleId="19">
    <w:name w:val="p16"/>
    <w:basedOn w:val="1"/>
    <w:qFormat/>
    <w:uiPriority w:val="0"/>
    <w:pPr>
      <w:widowControl/>
    </w:pPr>
    <w:rPr>
      <w:rFonts w:ascii="宋体" w:hAnsi="宋体" w:cs="宋体"/>
      <w:kern w:val="0"/>
      <w:szCs w:val="21"/>
    </w:rPr>
  </w:style>
  <w:style w:type="paragraph" w:customStyle="1" w:styleId="20">
    <w:name w:val="正文 New New New New New New New New"/>
    <w:qFormat/>
    <w:uiPriority w:val="0"/>
    <w:pPr>
      <w:widowControl w:val="0"/>
      <w:jc w:val="both"/>
    </w:pPr>
    <w:rPr>
      <w:rFonts w:ascii="仿宋_GB2312" w:hAnsi="Tahoma" w:eastAsia="仿宋_GB2312" w:cs="Times New Roman"/>
      <w:kern w:val="2"/>
      <w:sz w:val="21"/>
      <w:szCs w:val="24"/>
      <w:lang w:val="en-US" w:eastAsia="zh-CN" w:bidi="ar-SA"/>
    </w:rPr>
  </w:style>
  <w:style w:type="paragraph" w:customStyle="1" w:styleId="21">
    <w:name w:val="正文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3">
    <w:name w:val="正文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24">
    <w:name w:val="正文 New"/>
    <w:qFormat/>
    <w:uiPriority w:val="0"/>
    <w:pPr>
      <w:widowControl w:val="0"/>
      <w:jc w:val="both"/>
    </w:pPr>
    <w:rPr>
      <w:rFonts w:ascii="仿宋_GB2312" w:hAnsi="Tahoma" w:eastAsia="仿宋_GB2312" w:cs="Times New Roman"/>
      <w:kern w:val="2"/>
      <w:sz w:val="21"/>
      <w:szCs w:val="24"/>
      <w:lang w:val="en-US" w:eastAsia="zh-CN" w:bidi="ar-SA"/>
    </w:rPr>
  </w:style>
  <w:style w:type="paragraph" w:customStyle="1" w:styleId="25">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6">
    <w:name w:val="列出段落1"/>
    <w:basedOn w:val="1"/>
    <w:qFormat/>
    <w:uiPriority w:val="0"/>
    <w:pPr>
      <w:adjustRightInd w:val="0"/>
      <w:spacing w:line="360" w:lineRule="atLeast"/>
      <w:ind w:firstLine="420" w:firstLineChars="200"/>
      <w:textAlignment w:val="baseline"/>
    </w:pPr>
    <w:rPr>
      <w:rFonts w:ascii="Calibri" w:hAnsi="Calibri"/>
      <w:szCs w:val="22"/>
    </w:rPr>
  </w:style>
  <w:style w:type="paragraph" w:customStyle="1" w:styleId="27">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2019-02-28T04:15:00Z</dcterms:created>
  <dc:creator>谢浩然</dc:creator>
  <cp:lastModifiedBy>欧阳颖戈</cp:lastModifiedBy>
  <dcterms:modified xsi:type="dcterms:W3CDTF">2019-03-05T07:04:51Z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