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甘肃省东乡族自治县水资源管理条例</w:t>
      </w:r>
    </w:p>
    <w:p>
      <w:pPr>
        <w:spacing w:line="576" w:lineRule="exact"/>
        <w:rPr>
          <w:rFonts w:hint="eastAsia" w:ascii="仿宋_GB2312" w:hAnsi="仿宋_GB2312" w:eastAsia="仿宋_GB2312"/>
          <w:sz w:val="32"/>
          <w:lang w:eastAsia="zh-CN"/>
        </w:rPr>
      </w:pPr>
    </w:p>
    <w:p>
      <w:pPr>
        <w:spacing w:line="576" w:lineRule="exact"/>
        <w:ind w:left="640" w:leftChars="200" w:right="524" w:rightChars="164" w:firstLine="0" w:firstLineChars="0"/>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（2013年3月14日东乡族自治县第十七届人民代表大会第二次会议通过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2013年7月26日甘肃省十二届人大常委会第四次会议批准）</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为加强水资源的保护管理和合理开发，根据《中华人民共和国民族区域自治法》、《中华人民共和国水法》和《甘肃省实施〈中华人民共和国水法〉办法》等法律法规，结合自治县实际，制定本条例。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凡在自治县行政区域内规划、开发利用水资源的单位和个人，应当遵守本条例。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本条例中水资源是指地表水和地下水；水工程是指在地表水和地下水开发、利用及保护水资源的各类工程。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自治县人民政府水行政主管部门，按照规定的权限负责全县水资源的统一管理和监督工作，其主要职责是：</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（一）贯彻实施并监督执行有关水资源的法律法规；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（二）组织实施水资源的综合考察，负责水质监测和调查评价；</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（三）会同有关部门编制水资源综合规划；</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（四）统一调配水资源，制定水的供求计划和水量分配方案；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（五）负责河道管理，组织实施水工程项目，指导自治县行政区域内水库、电站的安全监管和农田水利、防汛抗旱以及水土保持等工作；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（六）组织实施取水许可制度和水资源有偿使用制度,负责水资源费、水费的征收和监督管理；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（七）负责水资源保护管理和水害防治工作，协同环保部门对水污染进行防治管理与监督；</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（八）组织实施水政监察和水行政执法，协调处理水事纠纷；</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（九）法律法规规定的其他职责。</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自治县的水资源管理要编制规划，规划分综合规划和专业规划。</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综合规划指总体规划和河流流域综合规划；专业规划指城乡造林绿化、水土保持、环境保护、供水、灌溉、水力发电、防汛抗旱、水资源保护等规划。</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资源综合规划由自治县水行政主管部门会同有关部门编制，报自治县人民政府批准。大夏河、洮河、巴谢河在自治县行政区域内的、不涉及其他行政区域的综合规划由自治县水行政主管部门会同有关部门编制，报自治县人民政府批准。界河、对临夏回族自治州其他行政区域内取水或生态有较大影响的，由自治县水行政主管部门会同有关部门编制，报上级人民政府水行政主管部门审定并按程序批准。界河、对其他市州行政区域内取水或生态有较大影响的，报省级水行政主管部门审定并按程序批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经批准的水资源规划，是县、乡（镇）两级人民政府制定发展规划和开发、利用、保护、管理水资源、防治水害及水污染的基本依据。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水资源规划的修改和变更，由原规划编制部门向同级人民政府申请，经原审批机关批准后，报上级人民政府水行政主管部门备案。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自治县人民政府采取优惠政策，鼓励县内外单位、个人进行合资、独资、引资或者租赁、购置水工程，开发利用水资源。</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开发利用水资源，应充分发挥综合效益，满足城乡居民生产生活用水，并统筹兼顾农业、工业和其他行业用水。</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开发利用水资源的工程项目，应遵守国家基本建设程序和有关规定，报有关部门批准。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自治县实行有偿用水制度，逐步做到计量收费。</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从河流、水库、地下取水的单位和个人，应向自治县人民政府水行政主管部门申请办理取水许可证，并缴纳水资源费。</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下列情形不需要办理取水许可证：</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（一）农村集体经济组织及其成员到本集体经济组织的水塘、水库取水的；</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（二）农村家庭生活和畜禽饮用少量取水的；</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（三）为农业抗旱和维护生态环境临时应急取水的；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（四）为消除对公共安全或者公共利益危害临时应急取水的。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自治县征收的水资源费享受民族自治地方留成比例的照顾，纳入财政专户管理，专项用于水资源的节约、保护和管理，也可用于水资源的合理开发。</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取得取水许可证的单位和个人，不得转让取水许可证，应按规定取水，并自觉接受自治县水行政主管部门的管理监督。</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自治县水行政主管部门应当根据本省行业用水定额核定取水单位许可水量，对在许可水量范围内取用水的，按照规定的价格收取水资源费，超出批准取水量的，累进加价收取水资源费。</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鼓励取水单位通过改进生产工艺，提高生产效率来节约用水，保护其通过节约用水所获取的收益。</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县、乡（镇）两级人民政府应开展经常性的节水教育，提高全民节水意识，推行节水目标责任制。</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取水单位应编制用水计划，供水单位应按计划供水，并加强对农业、工业、其他行业和生活供水管网、水系的管理，减少输水损耗。</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农业用水应积极采取防渗措施，逐步推广喷灌、滴灌和管灌等节水灌溉新技术，提高水的利用率。</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工业用水应计量定额，鼓励循环使用。</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居民生活用水应实行计量管理，采取多种节水措施，杜绝发生浪费水资源现象。</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由于特殊需要或不可抗力因素，供水能力发生变化时，自治县人民政府可对各种用水户取水量进行限制或者调整。</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取水单位应按计划定额管理的相关规定，建立供水、用水统计制度，报自治县水行政主管部门备案。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水资源费由自治县水行政主管部门负责统一组织征收。</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取水用水单位或个人应在接到自治县水行政主管部门缴费通知之日起十五日内缴纳水资源费。</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从水工程取水的单位或个人应安装计量设施，保证量水设施正常运行。</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自治县水资源和水工程保护区域，由同级人民政府确认并划定。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县人民政府应采取有效措施，加强水量、水质的监测和保护。</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用水单位和个人都有对水资源、水工程、防汛设施、水文监测等设施依法保护的责任，并有权检举、制止破坏和污染水资源的行为。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凡涉及水资源开发、利用和保护的建设项目，应按有关规定进行环境影响评价，需设置水污染防治设施的，必须与主体工程同时设计、同时施工、同时投产。</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自治县水行政主管部门按照国家资源与环境保护的有关法律法规和标准，根据水功能区对水质的要求和水体自然净化能力，审定本行政区域水体的纳污能力，向环境保护行政管理部门提出限制排污总量的意见。</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需在河流和水库设置排污口时，应当经自治县水行政主管部门同意后，向环境保护行政管理部门申请办理排污许可手续。</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自治县环境保护行政管理部门和水行政主管部门对行政区域内的排污单位进行监督检查，对超标排污、严重影响水质的，按照有关规定进行处罚。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对居民生活供水的水源地，应按规定划定饮用水源保护区。</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保护区内不得设置排污口和污染源，在本条例实施前已有的排污口和污染源，应当限期关闭和治理。对水质污染严重，危害人畜健康的供水水源，应当停止使用。</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九眼泉县城上水工程和南阳渠灌溉工程水源地保护区，由自治县人民政府协调相关县（市）人民政府共同划定，报临夏州人民政府批准。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在水资源、水工程和河道保护范围内，禁止任何单位和个人进行爆破、打井、采石、取土、弃渣、建厂及其它危害安全的活动。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县、乡（镇）两级人民政府应组织造林、护林，扩大植被，涵养水源。</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自治县人民政府对在水资源保护管理和开发利用工作中，做出显著成绩的单位和个人，给予表彰奖励。</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对违反本条例第十一条规定无证取水的，由自治县水行政主管部门责令其停止违法取水行为，限期依法申请取水许可证，并可处二万元以上十万元以下的罚款。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违反本条例第十七条第三款规定，逾期不缴纳水资源费和水费的，从滞纳之日起按日加收滞纳部分千分之二的滞纳金，并处应缴或者补缴水资源费一倍以上五倍以下的罚款。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二十三条、第二十四条规定，在水源保护区设置排污口和污染源，进行爆破、打井、采石、取土、弃渣、建厂等危害其安全的单位和个人，由自治县水行政主管部门按有关法律法规规定，责令其停止违法行为，情节严重的，处一万元以上五万元以下罚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以暴力、威胁方式阻碍依法执行水事公务，或者在水事纠纷中煽动闹事、构成犯罪的，依法追究刑事责任；未使用暴力、威胁方式阻碍或者干预依法执行水事公务而造成损失的，由自治县水行政主管部门责令其赔偿损失，并视其情况按有关规定进行处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自治县水行政主管部门和有关部门的工作人员在水资源保护管理和开发利用工作中玩忽职守、徇私舞弊、滥用职权的，由其所在单位或者上级行政主管部门给予行政处分；构成犯罪的，依法追究刑事责任。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当事人对行政处罚决定不服的，依照《中华人民共和国行政复议法》和《中华人民共和国行政诉讼法》的规定办理。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本条例由自治县人民代表大会常务委员会负责解释。</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F719E7"/>
    <w:rsid w:val="021406F0"/>
    <w:rsid w:val="03137CF2"/>
    <w:rsid w:val="058F6E08"/>
    <w:rsid w:val="07D413CC"/>
    <w:rsid w:val="08F45864"/>
    <w:rsid w:val="099B4519"/>
    <w:rsid w:val="09CF627E"/>
    <w:rsid w:val="0B3E1095"/>
    <w:rsid w:val="0B626070"/>
    <w:rsid w:val="0D1A3E53"/>
    <w:rsid w:val="0E182EF1"/>
    <w:rsid w:val="12146E7C"/>
    <w:rsid w:val="136333EF"/>
    <w:rsid w:val="140244D5"/>
    <w:rsid w:val="1491737F"/>
    <w:rsid w:val="181678DD"/>
    <w:rsid w:val="182901A0"/>
    <w:rsid w:val="1ADA601A"/>
    <w:rsid w:val="1B191D85"/>
    <w:rsid w:val="1BB27F35"/>
    <w:rsid w:val="1BED6580"/>
    <w:rsid w:val="1CCB0D62"/>
    <w:rsid w:val="1F4E0E6D"/>
    <w:rsid w:val="20283AA1"/>
    <w:rsid w:val="212F3282"/>
    <w:rsid w:val="21AA2C74"/>
    <w:rsid w:val="23164F42"/>
    <w:rsid w:val="238E70BF"/>
    <w:rsid w:val="24E604C8"/>
    <w:rsid w:val="24F765EE"/>
    <w:rsid w:val="2599366E"/>
    <w:rsid w:val="259F1C0F"/>
    <w:rsid w:val="25FE1B2D"/>
    <w:rsid w:val="26671D90"/>
    <w:rsid w:val="270A54A0"/>
    <w:rsid w:val="2E480048"/>
    <w:rsid w:val="2FD47C30"/>
    <w:rsid w:val="33122017"/>
    <w:rsid w:val="335B1879"/>
    <w:rsid w:val="339A6BB3"/>
    <w:rsid w:val="34684EE5"/>
    <w:rsid w:val="355009EB"/>
    <w:rsid w:val="375B1C21"/>
    <w:rsid w:val="37E45AD1"/>
    <w:rsid w:val="383E3B6A"/>
    <w:rsid w:val="38E86485"/>
    <w:rsid w:val="3A005A8A"/>
    <w:rsid w:val="3B1602CE"/>
    <w:rsid w:val="3B3433E9"/>
    <w:rsid w:val="3E861611"/>
    <w:rsid w:val="3E976E24"/>
    <w:rsid w:val="3EA65B84"/>
    <w:rsid w:val="3EDF77DA"/>
    <w:rsid w:val="41041C86"/>
    <w:rsid w:val="41633214"/>
    <w:rsid w:val="41816926"/>
    <w:rsid w:val="420C0200"/>
    <w:rsid w:val="432D4D4D"/>
    <w:rsid w:val="44A47482"/>
    <w:rsid w:val="461229CF"/>
    <w:rsid w:val="46FD06F2"/>
    <w:rsid w:val="503C62F8"/>
    <w:rsid w:val="50A5383B"/>
    <w:rsid w:val="56FB6755"/>
    <w:rsid w:val="5AE54EAF"/>
    <w:rsid w:val="5DF77167"/>
    <w:rsid w:val="60574368"/>
    <w:rsid w:val="612949A5"/>
    <w:rsid w:val="614D0AF4"/>
    <w:rsid w:val="650D58E9"/>
    <w:rsid w:val="65521F5B"/>
    <w:rsid w:val="67A740E5"/>
    <w:rsid w:val="688C3485"/>
    <w:rsid w:val="68D96EDC"/>
    <w:rsid w:val="6B471570"/>
    <w:rsid w:val="6C791455"/>
    <w:rsid w:val="6E392944"/>
    <w:rsid w:val="6E81342B"/>
    <w:rsid w:val="6EB12D2E"/>
    <w:rsid w:val="70970A6F"/>
    <w:rsid w:val="71B84BDC"/>
    <w:rsid w:val="721053C0"/>
    <w:rsid w:val="7229250E"/>
    <w:rsid w:val="7438345C"/>
    <w:rsid w:val="75B1354D"/>
    <w:rsid w:val="769B11E1"/>
    <w:rsid w:val="76B619E0"/>
    <w:rsid w:val="780F2D49"/>
    <w:rsid w:val="787D5789"/>
    <w:rsid w:val="791C77D0"/>
    <w:rsid w:val="79640BAA"/>
    <w:rsid w:val="796C1D5C"/>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62&#29976;&#32899;&#30465;&#19996;&#20065;&#26063;&#33258;&#27835;&#21439;&#27700;&#36164;&#28304;&#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2017-02-22T08:10:31Z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