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pStyle w:val="2"/>
        <w:rPr>
          <w:rFonts w:hint="eastAsia"/>
          <w:lang w:eastAsia="zh-CN"/>
        </w:rPr>
      </w:pPr>
      <w:r>
        <w:rPr>
          <w:rFonts w:hint="eastAsia"/>
          <w:lang w:eastAsia="zh-CN"/>
        </w:rPr>
        <w:t>甘肃省国防教育条例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pStyle w:val="3"/>
        <w:ind w:left="640" w:leftChars="200" w:right="524" w:rightChars="164" w:firstLine="0" w:firstLineChars="0"/>
        <w:jc w:val="both"/>
        <w:rPr>
          <w:rFonts w:hint="eastAsia"/>
          <w:lang w:eastAsia="zh-CN"/>
        </w:rPr>
      </w:pPr>
      <w:r>
        <w:rPr>
          <w:rFonts w:hint="eastAsia"/>
          <w:lang w:eastAsia="zh-CN"/>
        </w:rPr>
        <w:t>（1991年5月3日甘肃省第七届人民代表大会常务委员会第二十次会议通过</w:t>
      </w:r>
      <w:r>
        <w:rPr>
          <w:rFonts w:hint="default"/>
          <w:lang w:val="en-GB" w:eastAsia="zh-CN"/>
        </w:rPr>
        <w:t xml:space="preserve">  </w:t>
      </w:r>
      <w:r>
        <w:rPr>
          <w:rFonts w:hint="eastAsia"/>
          <w:lang w:eastAsia="zh-CN"/>
        </w:rPr>
        <w:t>2010年9月29日甘肃省第十一届人民代表大会常务委员会第十七次会议修正）</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第一条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为加强国防教育，提高公民的国防观念，振奋民族精神，促进国防现代化，保障经济建设，根据《中华人民共和国宪法》、《中华人民共和国军事设施保护法》等有关法律规定，结合本省实际情况，制定本条例。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凡本省境内的国家机关、政党、武装力量、社会团体、企业事业单位、城乡基层组织、学校和公民均应遵守本条例。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进行国防教育，应当以四项基本原则为指导，以爱国主义为核心，以普及国防知识为主要内容，教育公民自觉履行保卫祖国、保卫人民和平劳动和其他国防义务。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国防教育是一项全民性的教育，应当纳入思想教育总体系。加强国防教育是全社会各民族的共同责任。接受国防教育是每个公民依法享有的权利和必须履行的义务。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国防教育应当坚持集中教育与经常教育相结合、重点教育与普及教育相结合、理论教育与行为教育相结合、现实教育与历史教育相结合的指导原则。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第六条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省、市（州）、县（市、区）设立国防教育领导机构，负责本行政区国防教育的组织领导和管理。具体职责是：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（一）宣传贯彻党和国家有关国防教育的法律、法规和政策；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（二）制定本行政区国防教育的规划和实施意见；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（三）研究解决本行政区国防教育方面的重大问题；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（四）指导、协调各有关部门开展国防教育工作；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（五）省国防教育领导机构组织编写、审定国防教育教材，市（州）、县（市、区）国防教育领导机构结合本地实际，组织编写辅导性教材。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第七条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国防教育分为社会教育、学校教育两个系统，按重点教育和普及教育两个层次进行。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（一）国防教育由国防教育领导机构统一部署，各部门、各单位结合各自特点开展经常性国防教育；学校的国防教育，由教育行政部门负责组织，军事部门协助，学校具体实施。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国家机关、政党、社会团体、企业事业单位、城乡基层组织的负责人和人民武装干部、民兵、预备役人员接受重点教育；其他公民接受普及教育。高等院校和各类高级中等学校的学生结合军事训练、教学活动接受重点教育；各类初级中等学校和小学的学生通过政治、体育等课及各种活动接受普及教育。高等院校应当将国防教育纳入教学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第八条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国防教育主要是进行国防精神、国防历史、国防法制、国防常识、国防体育和人民防空等一般性知识的教育，使公民都懂得国防的地位和作用、公民的国防义务和权利。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对重点教育的对象还应当增加国防理论、国防战略、国防经济、国防动员、国防科技、国防现代化建设等知识。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第九条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各地、各单位除坚持经常性国防教育外，可利用党校、干部学校、职工学校、民兵预备役训练基地和其他文化体育活动场所集中进行国防教育。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新闻出版、报纸刊物、广播电视及其他宣传文化部门，应当把宣传国防教育纳入自己的工作规划，加强对国防教育的宣传。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第十一条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国防教育的师资可从下列人员中选聘：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（一）各级领导干部、离退休干部；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（二）国防教育专业教学、研究人员；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（三）人民武装干部、军队转业干部、退伍军人和民兵、预备役部队骨干；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（四）军队干部和军事院校的教员；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（五）党校和各类高、中等院校的教员；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（六）其他胜任国防教育的人员。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各级国防教育领导机构可根据实际需要，采取多种形式进行国防教育师资的培训。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第十二条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各级人民政府应当把地方的国防教育经费列入预算。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民兵组织和预备役部队在法律和政策允许的范围内，开展“以劳养武”活动，其收入可补充国防教育经费。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第十三条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各级人民政府对在国防教育中做出显著成绩或突出贡献的单位和个人，应当给予表彰和奖励。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第十四条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对拒不执行本条例的单位，由本级国防教育领导机构给予批评教育，情节严重的由其主管部门给予直接责任者行政处分。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对拒不接受国防教育的重点教育对象，由其所在单位给予批评教育；经教育不改的，可酌情给予行政、纪律处分。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第十五条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甘肃省国防教育领导机构可根据本条例制定实施办法。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lang w:eastAsia="zh-CN"/>
        </w:rPr>
      </w:pPr>
      <w:r>
        <w:rPr>
          <w:rFonts w:hint="eastAsia" w:ascii="黑体" w:hAnsi="黑体" w:eastAsia="黑体" w:cs="黑体"/>
          <w:lang w:eastAsia="zh-CN"/>
        </w:rPr>
        <w:t>第十六条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本条例自公布之日起施行。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叶根友特色简体升级版">
    <w:panose1 w:val="02010601030101010101"/>
    <w:charset w:val="86"/>
    <w:family w:val="auto"/>
    <w:pitch w:val="default"/>
    <w:sig w:usb0="00000001" w:usb1="080E0000" w:usb2="00000000" w:usb3="00000000" w:csb0="00040000" w:csb1="00000000"/>
  </w:font>
  <w:font w:name="叶根友特色空心简体终极版">
    <w:panose1 w:val="0201060103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叶根友行书繁">
    <w:panose1 w:val="02010601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汉真广标">
    <w:panose1 w:val="02010609000101010101"/>
    <w:charset w:val="86"/>
    <w:family w:val="auto"/>
    <w:pitch w:val="default"/>
    <w:sig w:usb0="00000001" w:usb1="080E0800" w:usb2="00000002" w:usb3="00000000" w:csb0="00040000" w:csb1="00000000"/>
  </w:font>
  <w:font w:name="汉仪黛玉体简">
    <w:panose1 w:val="02010604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汉仪雪峰体简">
    <w:panose1 w:val="02010604000101010101"/>
    <w:charset w:val="86"/>
    <w:family w:val="auto"/>
    <w:pitch w:val="default"/>
    <w:sig w:usb0="00000001" w:usb1="080E0800" w:usb2="00000002"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8AF76D4"/>
    <w:rsid w:val="08F70A91"/>
    <w:rsid w:val="097D298D"/>
    <w:rsid w:val="09AF5A8A"/>
    <w:rsid w:val="0A9C3CC5"/>
    <w:rsid w:val="10554A16"/>
    <w:rsid w:val="112F3E9A"/>
    <w:rsid w:val="12416BB9"/>
    <w:rsid w:val="12ED36E6"/>
    <w:rsid w:val="16463171"/>
    <w:rsid w:val="16C324C6"/>
    <w:rsid w:val="18AB5F26"/>
    <w:rsid w:val="1A2953B4"/>
    <w:rsid w:val="1C250A70"/>
    <w:rsid w:val="1C365D82"/>
    <w:rsid w:val="1C695E19"/>
    <w:rsid w:val="1C7207DF"/>
    <w:rsid w:val="1D030DEC"/>
    <w:rsid w:val="1E271201"/>
    <w:rsid w:val="1E917AB4"/>
    <w:rsid w:val="1EC326F1"/>
    <w:rsid w:val="1FA158FD"/>
    <w:rsid w:val="21025CEC"/>
    <w:rsid w:val="21140966"/>
    <w:rsid w:val="230E7B97"/>
    <w:rsid w:val="2599366E"/>
    <w:rsid w:val="25FE1B2D"/>
    <w:rsid w:val="27C8407B"/>
    <w:rsid w:val="29641821"/>
    <w:rsid w:val="2A3C226C"/>
    <w:rsid w:val="2A781FF1"/>
    <w:rsid w:val="2BBA5307"/>
    <w:rsid w:val="2CBD2157"/>
    <w:rsid w:val="2DCB02B2"/>
    <w:rsid w:val="2DE20318"/>
    <w:rsid w:val="31274F67"/>
    <w:rsid w:val="31F37AA3"/>
    <w:rsid w:val="324C4A97"/>
    <w:rsid w:val="335E4741"/>
    <w:rsid w:val="34887889"/>
    <w:rsid w:val="359B3C3E"/>
    <w:rsid w:val="35B76276"/>
    <w:rsid w:val="364A7752"/>
    <w:rsid w:val="373C2B69"/>
    <w:rsid w:val="38495302"/>
    <w:rsid w:val="3E0567D6"/>
    <w:rsid w:val="3EDC350D"/>
    <w:rsid w:val="3F3632F4"/>
    <w:rsid w:val="41660C81"/>
    <w:rsid w:val="4220048D"/>
    <w:rsid w:val="42324EEF"/>
    <w:rsid w:val="42AA0492"/>
    <w:rsid w:val="42FA2A8A"/>
    <w:rsid w:val="44A24C4A"/>
    <w:rsid w:val="453B01FF"/>
    <w:rsid w:val="458F6BBA"/>
    <w:rsid w:val="45B211ED"/>
    <w:rsid w:val="46CA5917"/>
    <w:rsid w:val="47077930"/>
    <w:rsid w:val="4762288C"/>
    <w:rsid w:val="47B70734"/>
    <w:rsid w:val="47E348B1"/>
    <w:rsid w:val="48733564"/>
    <w:rsid w:val="48AF66DE"/>
    <w:rsid w:val="49BB6524"/>
    <w:rsid w:val="4B924F7F"/>
    <w:rsid w:val="4BBF0A7E"/>
    <w:rsid w:val="4C183170"/>
    <w:rsid w:val="4C342133"/>
    <w:rsid w:val="4D554E97"/>
    <w:rsid w:val="4EF72A09"/>
    <w:rsid w:val="4FA93976"/>
    <w:rsid w:val="4FB37857"/>
    <w:rsid w:val="506D3F47"/>
    <w:rsid w:val="509D65E6"/>
    <w:rsid w:val="512A147B"/>
    <w:rsid w:val="515E11FD"/>
    <w:rsid w:val="516613EC"/>
    <w:rsid w:val="52B476A7"/>
    <w:rsid w:val="54BD14A1"/>
    <w:rsid w:val="552D178B"/>
    <w:rsid w:val="568602A6"/>
    <w:rsid w:val="579539AF"/>
    <w:rsid w:val="59826833"/>
    <w:rsid w:val="59B75727"/>
    <w:rsid w:val="5A155CB1"/>
    <w:rsid w:val="5A9C0549"/>
    <w:rsid w:val="5CCD29BF"/>
    <w:rsid w:val="5D8928B6"/>
    <w:rsid w:val="604C313C"/>
    <w:rsid w:val="607E06A1"/>
    <w:rsid w:val="612F1579"/>
    <w:rsid w:val="61B47B51"/>
    <w:rsid w:val="6228024C"/>
    <w:rsid w:val="62B275B3"/>
    <w:rsid w:val="62E93564"/>
    <w:rsid w:val="633C0AB9"/>
    <w:rsid w:val="64A616A7"/>
    <w:rsid w:val="653604ED"/>
    <w:rsid w:val="65E254D8"/>
    <w:rsid w:val="66001983"/>
    <w:rsid w:val="667B3E80"/>
    <w:rsid w:val="681F641B"/>
    <w:rsid w:val="69302BFF"/>
    <w:rsid w:val="69D73C20"/>
    <w:rsid w:val="6A891EB9"/>
    <w:rsid w:val="6A9F466C"/>
    <w:rsid w:val="6B727FB5"/>
    <w:rsid w:val="6C184A92"/>
    <w:rsid w:val="6C4C3539"/>
    <w:rsid w:val="6EA30FE8"/>
    <w:rsid w:val="6F4010A8"/>
    <w:rsid w:val="6FC23568"/>
    <w:rsid w:val="70C36E5A"/>
    <w:rsid w:val="75D3130E"/>
    <w:rsid w:val="76312F42"/>
    <w:rsid w:val="7A6774EA"/>
    <w:rsid w:val="7CAA1176"/>
    <w:rsid w:val="7D396E73"/>
    <w:rsid w:val="7E056645"/>
    <w:rsid w:val="7E8D6B64"/>
    <w:rsid w:val="7EE54F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45&#29976;&#32899;&#30465;&#20892;&#26449;&#38598;&#20307;&#36164;&#201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2017-02-21T02:20:56Z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