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甘肃省禁毒条例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（2021年11月26日甘肃省第十三届人民代表大会</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常务委员会第二十七次会议通过）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总</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毒品和制毒物品管制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戒毒管理和服务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工作保障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附</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为了预防和惩治毒品违法犯罪行为，保护公民身心健康，维护社会秩序，根据《中华人民共和国禁毒法》和国务院《戒毒条例》等有关法律、行政法规，结合本省实际，制定本条例。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本省行政区域内的禁毒宣传教育、毒品和制毒物品管制、戒毒管理和服务以及禁毒工作保障等，适用本条例。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本条例所称毒品，是指鸦片、海洛因、甲基苯丙胺（冰毒）、吗啡、大麻、可卡因，以及国家规定管制的其他能够使人形成瘾癖的麻醉药品和精神药品。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法律、行政法规对禁毒工作已有规定的，依照其规定执行。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禁毒是全社会的共同责任。国家机关、社会团体、企业事业单位以及其他组织和公民，应当依法履行禁毒职责或者义务。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禁毒工作坚持预防为主，综合治理，禁种、禁制、禁贩、禁吸并举的方针，实行政府统一领导，部门各负其责，社会广泛参与的工作机制。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县级以上人民政府应当将禁毒工作纳入国民经济和社会发展规划，所需经费列入本级财政预算，专款专用，不得截留或者挪用。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禁毒工作绩效纳入平安建设、法治建设、精神文明建设内容和政府绩效考核等。</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县级以上人民政府的禁毒委员会，负责组织、协调、指导本行政区域禁毒工作，履行下列职责：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（一）制定禁毒工作规划、计划和工作措施；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（二）宣传禁毒法律、法规和规章，并对实施情况进行检查；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（三）建立健全毒情监测评估和毒情研判通报机制，定期发布毒情形势和变化动态；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（四）督促本级禁毒委员会成员单位和下级禁毒委员会履行禁毒工作职责并组织考核；</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（五）协调解决禁毒工作中的重大问题；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（六）执行上级禁毒委员会和本级人民政府赋予的其他职责。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禁毒委员会下设办公室，明确专职工作人员，承担禁毒委员会的日常工作。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禁毒委员会成员单位应当将禁毒工作列入本单位整体工作规划和年度计划，依法履行禁毒工作职责，定期向本级禁毒委员会报告禁毒工作情况。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负责毒品查缉，吸毒人员查处和动态管控，易制毒化学品购销、运输管理和监督检查，开展禁毒法治宣传教育，管理所辖的强制隔离戒毒场所和戒毒康复场所，对社区戒毒、社区康复工作提供指导和支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司法行政部门负责管理所辖的强制隔离戒毒场所和戒毒康复场所，对社区戒毒、社区康复工作提供指导和支持。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卫生健康行政部门负责戒毒医疗机构的监督管理，指导戒毒医疗服务，负责向强制隔离戒毒场所派驻医护人员，组织开展吸毒所致精神障碍的防治。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禁毒委员会其他成员单位应当按照各自职责开展禁毒工作。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鼓励和支持社会力量广泛参与禁毒宣传、戒毒科研、戒毒康复和戒毒社会公益服务。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鼓励和支持社会团体、企业事业单位以及其他组织和个人对禁毒工作的社会捐赠，并依法给予税收优惠。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鼓励禁毒科技成果转化，开发、推广先进的缉毒技术、装备和戒毒方法，鼓励高等院校、科研单位和机构开展禁毒科学技术研究和人才培养。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鼓励单位和个人举报毒品违法犯罪行为。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各级人民政府和有关部门应当建立奖励和保密制度，对举报人予以保护，对举报有功人员以及在禁毒工作中有突出贡献的单位和个人，给予表彰和奖励。</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宣传教育</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县级以上人民政府应当建立健全禁毒宣传教育体系，将禁毒宣传教育与公民法治教育、道德教育、健康教育等相结合，建立禁毒教育基地或者确定固定的禁毒教育场所，免费向社会提供禁毒宣传教育服务，提高公民预防毒品能力。</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禁毒委员会及其成员单位应当根据实际情况，编写、制作禁毒知识读本、音像制品、互联网文化产品等，运用各类媒体向全社会普及毒品危害和预防知识。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国家机关、社会团体、企业事业单位以及其他组织，应当结合各自职责，对本单位人员开展禁毒宣传教育。</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教育行政部门、学校应当将禁毒知识纳入教育、教学内容，对学生进行禁毒宣传教育。公安机关、司法行政部门和卫生健康行政部门应当予以协助。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工会、共产主义青年团、妇女联合会应当结合各自工作对象特点，组织开展禁毒宣传教育。</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各级人民政府应当建立学校、家庭和社区毒品预防教育衔接机制，普及防毒知识，强化社区禁毒宣传教育。</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居民委员会、村民委员会应当协助人民政府以及公安机关等部门，加强禁毒宣传教育，落实禁毒防范措施。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未成年人的父母或者其他监护人应当对未成年人进行毒品危害的教育引导，防止其吸食、注射毒品或者进行其他毒品违法犯罪活动。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家庭成员有吸食、注射毒品的，其他家庭成员应当主动配合相关部门进行制止和教育，积极帮助其戒除毒瘾。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报刊、广播、电视、公共显示屏、互联网等各类媒体以及通信信息服务单位应当面向社会开展常态化禁毒宣传教育和公益宣传，刊登、播放禁毒公益广告。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公共图书馆、科技馆、阅览室以及综合性文化服务中心等场所应当提供禁毒知识读物，展播禁毒知识。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机场、车站、码头以及旅店、娱乐场所等公共场所的经营者、管理者和快递、物流、邮政寄递、仓储、公共交通等企业应当在其经营场所显著位置设立禁毒警示标识，公布举报电话，对从业人员进行禁毒知识培训，对服务对象进行禁毒宣传。</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毒品和制毒物品管制</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县级以上人民政府应当加强毒品和制毒物品的管理，组织实施毒情调查、毒情监测。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本省对麻醉药品药用原植物种植实行依法管制。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禁止非法种植罂粟、古柯植物、大麻植物以及国家规定管制的可以用于提炼加工毒品的其他原植物。禁止走私或者非法买卖、运输、携带、持有未经灭活的毒品原植物种子或者幼苗。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县级以上人民政府应当组织公安、农业农村、自然资源、林草等部门以及乡（镇）人民政府、街道办事处加强巡查，发现非法种植毒品原植物的，应当立即采取措施予以制止、铲除。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居民委员会、村民委员会发现非法种植毒品原植物的，应当及时予以制止、铲除，并向公安机关报告。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禁止走私或者非法生产、买卖、运输、储存、提供、持有、使用麻醉药品、精神药品和易制毒化学品。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卫生健康、市场监管、生态环境、交通运输、商务、药监、农业农村、应急管理、工信等部门应当加强麻醉药品、精神药品、易制毒化学品及其生产经营等活动的监管，建立信息共享、流向追溯、责任倒查等制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科研教学、医疗、生物制药等机构，发现可能用于制造毒品、具有成瘾性且易被滥用的物质，应当及时向公安机关报告。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研制、生产、经营、购买、运输、储存、使用和进口、出口麻醉药品、精神药品、易制毒化学品的单位，应当执行国家有关许可、查验制度的相关规定，建立和落实单位内部管理制度，定期向公安机关和有关主管部门报告本单位麻醉药品、精神药品、易制毒化学品数量、流向和使用情况，防止流入非法渠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易制毒化学品持有者在办理运输、储存时，应当出示合法来源证明以及相关许可文件；不能出示的，有关单位不得为其提供运输、仓储等服务。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药品生产、批发企业应当按照国家有关规定经营含麻黄碱类复方制剂，发现异常购买情形的，立即停止销售，并向药品监督管理部门和公安机关报告。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药品零售企业应当落实含麻黄碱类复方制剂实名登记、限量销售、专册登记、专柜专人管理等规定，发现大量、多次等异常购买情形的，立即停止销售，并向药品监督管理部门和公安机关报告。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公安机关应当建立健全毒品日常查缉机制，配备必要的装备设施，在边境地区、交通要道、口岸以及机场、车站、码头等区域，对来往人员、物品、货物以及交通工具等进行毒品和易制毒化学品检查，公路、铁路、民航、交通运输等部门应当予以配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海关依法对进出口岸的人员、物品、货物以及运输工具进行检查，防止走私毒品和易制毒化学品。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快递、物流、邮政寄递、仓储等单位应当严格安全查验制度，实行实名登记、收寄验视、过机安检、信息保存；发现托运、寄递疑似毒品或者非法托运、寄递麻醉药品、精神药品、易制毒化学品的，应当停止运输、寄递，并立即报告邮政管理部门和公安机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物流提取单据、寄递详情单和相应的电子信息档案等相关信息的保存期限不得少于一年。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旅店、娱乐场所应当建立巡查制度，落实禁毒防范措施，发现有涉毒违法犯罪活动的，应当立即向公安机关报告，并配合调查取证。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乡（镇）人民政府、街道办事处应当加强对本辖区出租屋、闲置厂房、仓库、养殖场等场所的排查，发现涉毒违法犯罪活动或者可疑情况的，应当立即报告公安机关。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房屋、场地的出租人、管理人、物业服务企业发现房屋、场地内有涉毒违法犯罪活动或者可疑情况的，应当立即报告公安机关，并配合调查取证。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任何单位和个人不得制作、发布、传播、转载有关种毒、制毒、贩毒、吸毒的方法、技术、工艺、经验等违法信息。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禁止非法传授麻醉药品、精神药品和易制毒化学品的制造方法。公安机关接到举报或者发现非法传授麻醉药品、精神药品和易制毒化学品制造方法的，应当及时依法查处。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网络运营者、互联网信息服务提供者应当对用户发布的信息进行监督管理，发现涉毒违法犯罪活动、传播涉毒违法犯罪信息的，应当立即采取停止传输、删除违法信息、防止信息扩散、留存后台日志等措施，并立即报告公安机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互联网信息管理、通信管理等部门和公安机关应当按照各自职责对网络涉毒违法犯罪信息开展监测、处置，网络运营者应当予以配合，并协助调查取证。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禁止在食品中添加罂粟、大麻等毒品原植物的根、茎、叶、壳、籽、幼苗及其制品。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企业或者个人出租、出售其持有的离心机、反应釜等易制毒设备，应当按照有关规定如实记录出租或者出售信息及其主要用途等，并向公安机关报告。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高等院校、科研院所、制药企业等核磁共振波谱仪持有部门，应当落实实名登记、图谱报备、一机一人管理制度，及时向所在地县（市、区）人民政府公安机关备案检测委托人信息和检测结果，发现违法使用行为和外接检测的异常情况，立即报告公安机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戒毒管理和服务</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县级以上人民政府应当建立自愿戒毒、社区戒毒、强制隔离戒毒、社区康复相互衔接的戒毒工作机制，将吸毒人员纳入网格化社会管理服务体系，进行风险评估、分类管理、综合干预。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公安机关应当对吸毒人员进行登记并依法实行动态管控；吸毒人员户籍所在地与现居住地不一致的，可以由现居住地公安机关负责动态管控，户籍所在地公安机关应当予以配合。对戒断三年未复吸的人员，不再实行动态管控。</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对戒毒人员戒毒的个人信息应当依法予以保密。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县级以上人民政府应当将戒毒医疗机构纳入公共医疗卫生服务体系，卫生健康行政部门应当会同公安机关和司法行政部门制定戒毒医疗机构设置规划，开设戒毒治疗或者物质依赖门诊。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县级以上人民政府应当对社会力量依法开办的公益性戒毒康复场所给予扶持，提供必要的便利和帮助。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县级以上人民政府卫生健康行政部门应当会同同级公安、药监、医保等部门，根据国家有关规定，科学设置戒毒药物维持治疗门诊和延伸服药点，方便戒毒人员就近治疗。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符合参加戒毒药物维持治疗条件的戒毒人员，由本人向戒毒药物维持治疗机构提出申请并经登记后，可以参加戒毒药物维持治疗。登记参加戒毒药物维持治疗的戒毒人员的信息应当及时报公安机关备案。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戒毒药物维持治疗费用纳入公共医疗卫生服务体系，财政给予经费支持。鼓励戒毒药物维持治疗门诊和延伸服药点为长期坚持治疗的戒毒人员减免费用。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鼓励吸毒成瘾人员自行戒除毒瘾。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吸毒人员可以自行到戒毒医疗机构接受戒毒治疗。戒毒医疗机构应当与自愿戒毒人员或者其监护人签订自愿戒毒协议，对戒毒方式、期限、个人信息保密、终止戒毒情形以及应当遵守的规章制度等作出约定，并载明戒毒疗效、戒毒治疗风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自愿接受戒毒治疗的吸毒人员，公安机关对其原吸毒行为不予处罚。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乡（镇）人民政府、街道办事处负责社区戒毒、社区康复工作，根据需要成立工作领导小组，设置社区戒毒康复工作站，配备专职工作人员，制定社区戒毒、社区康复工作计划，组织落实社区戒毒、社区康复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应当在社区戒毒、社区康复人员报到后及时与其签订社区戒毒、社区康复协议，明确社区戒毒、社区康复的具体措施和社区戒毒、社区康复人员应当遵守的规定以及违反社区戒毒、社区康复协议应当承担的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社区戒毒、社区康复人员离开社区戒毒、社区康复执行地所在县（市、区）三日以上的，应当书面报告社区戒毒康复工作领导小组，并定期到外出地公安机关进行吸毒检测。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对外出的社区戒毒、社区康复人员，执行地县（市、区）禁毒部门应当委托外出地禁毒部门纳入管控。</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社区戒毒、社区康复人员戒毒、康复期满后，由执行地公安机关出具解除社区戒毒、社区康复通知书送达本人及其家属，并在七日内通知社区戒毒、社区康复执行地乡（镇）人民政府、街道办事处。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公安机关和司法行政部门应当完善工作衔接机制，被强制隔离戒毒的人员在公安机关的强制隔离戒毒场所执行强制隔离戒毒三至六个月后，转至司法行政部门的强制隔离戒毒场所继续执行强制隔离戒毒。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吸毒成瘾人员有下列情形之一的，由县级以上人民政府公安机关依法作出强制隔离戒毒的决定：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（一）拒绝接受社区戒毒的；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（二）在社区戒毒期间吸食、注射毒品的；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（三）严重违反社区戒毒协议的；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（四）经社区戒毒、强制隔离戒毒后再次吸食、注射毒品的。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对于吸毒成瘾严重，通过社区戒毒难以戒除毒瘾的人员，公安机关可以直接作出强制隔离戒毒的决定。吸毒成瘾人员自愿接受强制隔离戒毒的，经公安机关同意，可以进入强制隔离戒毒场所戒毒。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吸毒成瘾人员被依法决定强制隔离戒毒的，由作出决定的公安机关送交强制隔离戒毒场所执行。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公安机关、司法行政部门应当在强制隔离戒毒场所内设置专门区域，配备必要的医疗设施、执业医师和护理人员，收治病、残强制隔离戒毒人员。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卫生健康行政部门应当采取派驻医护人员等方式，协助强制隔离戒毒场所做好病残戒毒人员的戒毒治疗、常规医疗、卫生防疫等工作。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以吞食异物或者其他自伤、自残方式逃避强制隔离戒毒决定执行，强制隔离戒毒场所无法收戒的强制隔离戒毒人员，可以送卫生健康行政部门指定的专门医院，或者在公立医院内开辟的专门区域治疗，治疗后送强制隔离戒毒场所收戒。医疗救治由卫生健康行政部门和医院负责，人员管理由公安或者司法行政等部门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强制隔离戒毒场所对有严重残疾或者疾病的戒毒人员，应当给予必要的看护和治疗；对患有传染病的戒毒人员，应当依法采取必要的隔离、治疗措施；对可能发生自伤、自残等情形的戒毒人员，可以采取相应的保护性约束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患有严重疾病不出所治疗可能危及生命的强制隔离戒毒人员，经强制隔离戒毒场所主管机关批准，并报强制隔离戒毒决定机关备案，强制隔离戒毒场所可以允许其所外就医。所外就医的费用由强制隔离戒毒人员本人承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所外就医期间，强制隔离戒毒人员由户籍所在地或者现居住地公安机关落实监督责任，强制隔离戒毒所应当予以配合。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对于健康状况不再适宜回所执行强制隔离戒毒的，强制隔离戒毒场所应当向强制隔离戒毒决定机关提出变更为社区戒毒的建议，强制隔离戒毒决定机关应当自收到建议之日起七日内，作出是否批准的决定。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被强制隔离戒毒人员系生活不能自理人员的唯一抚养人、扶养人或者赡养人的，公安机关在作出强制隔离戒毒决定的同时，应当立即将生活不能自理人员的情况通知其户籍所在地或者现居住地乡（镇）人民政府、街道办事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乡（镇）人民政府、街道办事处收到通知后，应当立即对生活不能自理人员进行妥善安置，及时将安置情况告知公安机关。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解除强制隔离戒毒的，强制隔离戒毒场所应当在解除强制隔离戒毒三日前通知强制隔离戒毒决定机关，出具解除强制隔离戒毒证明书送达戒毒人员本人，并通知其家属、所在单位、其户籍所在地或者现居住地公安派出所将其领回。</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强制隔离戒毒所和戒毒康复场所发现戒毒、康复人员患病或者自杀、自伤、自残的，应当及时进行医疗救治，并通知其家属；戒毒、康复人员死亡的，应当立即报告主管部门，并通知其家属、决定机关和有关部门，其家属对死亡原因有疑义的，可以委托有资质的机构进行鉴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各级人民政府应当将就业困难的戒毒、康复人员纳入就业安置帮扶范围，鼓励和扶持戒毒、康复人员自谋职业、自主创业，按照国家和本省有关规定给予政策支持。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乡（镇）人民政府、街道办事处，以及县（市、区）人民政府人力资源和社会保障部门对无职业且缺乏就业能力的戒毒人员，应当提供必要的职业技能培训、就业指导和就业援助。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医疗保障部门应当引导戒毒、康复人员参加医疗保险。民政部门应当将符合条件的戒毒、康复人员纳入救助范围。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戒毒、康复人员在入学、就业、享受社会保障等方面不受歧视。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三年内有吸食、注射毒品行为或者解除强制隔离戒毒措施未满三年的人员，不得申请机动车驾驶证。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机动车驾驶人被查获有吸食、注射毒品后驾驶机动车行为，或者正在执行社区戒毒、强制隔离戒毒、社区康复措施的，公安机关交通管理部门应当注销其机动车驾驶证。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法律、法规对有吸毒行为记录的人员驾驶机动车、船舶、火车、轨道交通工具、航空器以及从事其他职业有限制规定的，依照其规定执行。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工作保障</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县级以上人民政府应当加强禁毒机构和队伍建设，有关部门应当配备专门工作力量，乡（镇）人民政府、街道办事处应当配备专职工作人员，承担本单位、本辖区禁毒日常工作。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各级人民政府应当建立禁毒社会工作队伍，对禁毒志愿者进行指导、培训，并提供必要的工作条件。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县级以上人民政府可以通过购买服务等方式，引导、培育、扶持社会组织和社会工作者参与禁毒宣传教育、戒毒康复指导、吸毒人员心理干预等社会服务。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县级以上人民政府应当按照国家有关规定和标准加强禁毒教育基地、毒品实验室、毒品检查站和禁毒情报中心（站）等禁毒基础设施建设，配备相应的禁毒装备和设施。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县级以上人民政府应当加强禁毒工作信息化建设，运用大数据、人工智能、云计算等技术开展禁毒宣传教育、吸毒人员管控、毒情分析、禁毒管理等工作。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县级以上人民政府及其公安、司法行政、卫生健康、人力资源和社会保障、财政等部门应当采取措施，加强对禁毒工作人员的职业保护，防范和减少禁毒工作中的职业风险。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禁毒工作人员因禁毒工作伤残、死亡的，按照国家和本省有关规定给予抚恤和优待。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国家工作人员在禁毒工作中违反法律、行政法规规定或者滥用职权、玩忽职守、徇私舞弊的，依法给予处分；构成犯罪的，依法追究刑事责任。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法律、行政法规对涉毒违法行为已有处罚规定的，依照其规定执行。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本条例自2022年1月1日起施行。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1">
    <w:panose1 w:val="02020400000000000000"/>
    <w:charset w:val="86"/>
    <w:family w:val="auto"/>
    <w:pitch w:val="default"/>
    <w:sig w:usb0="80000003" w:usb1="08012000"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仓耳渔阳体 W04">
    <w:panose1 w:val="02020400000000000000"/>
    <w:charset w:val="86"/>
    <w:family w:val="auto"/>
    <w:pitch w:val="default"/>
    <w:sig w:usb0="80000003" w:usb1="08012000" w:usb2="00000012" w:usb3="00000000" w:csb0="00040001" w:csb1="00000000"/>
  </w:font>
  <w:font w:name="仓耳渔阳体 W05">
    <w:panose1 w:val="02020400000000000000"/>
    <w:charset w:val="86"/>
    <w:family w:val="auto"/>
    <w:pitch w:val="default"/>
    <w:sig w:usb0="80000003" w:usb1="08012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143245"/>
    <w:rsid w:val="068C0426"/>
    <w:rsid w:val="06B237D5"/>
    <w:rsid w:val="06E100F3"/>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D86262"/>
    <w:rsid w:val="0F022AB7"/>
    <w:rsid w:val="0FCB46D9"/>
    <w:rsid w:val="10324FF6"/>
    <w:rsid w:val="10554A16"/>
    <w:rsid w:val="105D19F5"/>
    <w:rsid w:val="107059CD"/>
    <w:rsid w:val="10976991"/>
    <w:rsid w:val="112F3E9A"/>
    <w:rsid w:val="119E112A"/>
    <w:rsid w:val="11EC243A"/>
    <w:rsid w:val="12385206"/>
    <w:rsid w:val="12416BB9"/>
    <w:rsid w:val="126A6725"/>
    <w:rsid w:val="12B555ED"/>
    <w:rsid w:val="131E7E75"/>
    <w:rsid w:val="14DD5773"/>
    <w:rsid w:val="15F563BF"/>
    <w:rsid w:val="160F3829"/>
    <w:rsid w:val="16463171"/>
    <w:rsid w:val="166E6F16"/>
    <w:rsid w:val="170B02E2"/>
    <w:rsid w:val="180E6859"/>
    <w:rsid w:val="18A3459A"/>
    <w:rsid w:val="18AB5F26"/>
    <w:rsid w:val="18FB419B"/>
    <w:rsid w:val="19120BDC"/>
    <w:rsid w:val="19825F2F"/>
    <w:rsid w:val="1ABC3AD8"/>
    <w:rsid w:val="1B1378D0"/>
    <w:rsid w:val="1B1F08F2"/>
    <w:rsid w:val="1B8A28FD"/>
    <w:rsid w:val="1BB56B62"/>
    <w:rsid w:val="1C365D82"/>
    <w:rsid w:val="1C695E19"/>
    <w:rsid w:val="1C7207DF"/>
    <w:rsid w:val="1D3D4E80"/>
    <w:rsid w:val="1E11031C"/>
    <w:rsid w:val="1F2924BE"/>
    <w:rsid w:val="1F6F6A8D"/>
    <w:rsid w:val="200730C5"/>
    <w:rsid w:val="20B2490E"/>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7E47DE"/>
    <w:rsid w:val="2599366E"/>
    <w:rsid w:val="25DA6A56"/>
    <w:rsid w:val="25FE1B2D"/>
    <w:rsid w:val="26673BD5"/>
    <w:rsid w:val="26B77D01"/>
    <w:rsid w:val="26DD7F1C"/>
    <w:rsid w:val="26F62364"/>
    <w:rsid w:val="274512C9"/>
    <w:rsid w:val="27B47151"/>
    <w:rsid w:val="27C8407B"/>
    <w:rsid w:val="28084D60"/>
    <w:rsid w:val="289479EC"/>
    <w:rsid w:val="28E348F4"/>
    <w:rsid w:val="292B4540"/>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82248"/>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42997"/>
    <w:rsid w:val="377D1592"/>
    <w:rsid w:val="37863616"/>
    <w:rsid w:val="378F0099"/>
    <w:rsid w:val="37A70D00"/>
    <w:rsid w:val="388E5AE2"/>
    <w:rsid w:val="398C5E19"/>
    <w:rsid w:val="39AD2141"/>
    <w:rsid w:val="39E654CC"/>
    <w:rsid w:val="3A12468A"/>
    <w:rsid w:val="3B342B44"/>
    <w:rsid w:val="3CFB3CD6"/>
    <w:rsid w:val="3D793D05"/>
    <w:rsid w:val="3DA31B26"/>
    <w:rsid w:val="3DCB22BA"/>
    <w:rsid w:val="3DE95948"/>
    <w:rsid w:val="3E501754"/>
    <w:rsid w:val="3E7F4BF7"/>
    <w:rsid w:val="3EDC350D"/>
    <w:rsid w:val="3FC4632F"/>
    <w:rsid w:val="3FCE5C61"/>
    <w:rsid w:val="3FF76774"/>
    <w:rsid w:val="40A20255"/>
    <w:rsid w:val="40AC5714"/>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71D4E0C"/>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F307ED"/>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867A38"/>
    <w:rsid w:val="5CCD29BF"/>
    <w:rsid w:val="5D2249B1"/>
    <w:rsid w:val="5D344938"/>
    <w:rsid w:val="5D345C46"/>
    <w:rsid w:val="5E706A96"/>
    <w:rsid w:val="5E977E17"/>
    <w:rsid w:val="5EB44E27"/>
    <w:rsid w:val="5EB724B6"/>
    <w:rsid w:val="5EC4201B"/>
    <w:rsid w:val="5F2C27E5"/>
    <w:rsid w:val="5FDC70A6"/>
    <w:rsid w:val="607E06A1"/>
    <w:rsid w:val="608E4BF4"/>
    <w:rsid w:val="60DC4A94"/>
    <w:rsid w:val="61164785"/>
    <w:rsid w:val="612F1579"/>
    <w:rsid w:val="61335AB1"/>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3E74514"/>
    <w:rsid w:val="73F15E61"/>
    <w:rsid w:val="74B603C7"/>
    <w:rsid w:val="758A2733"/>
    <w:rsid w:val="75B23F22"/>
    <w:rsid w:val="75C87DC6"/>
    <w:rsid w:val="75D3130E"/>
    <w:rsid w:val="75E91C4D"/>
    <w:rsid w:val="76312F42"/>
    <w:rsid w:val="77205FEF"/>
    <w:rsid w:val="775262F8"/>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2021-12-17T07:28:55Z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