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福州市人民代表大会常务委员会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仿宋_GB2312" w:hAnsi="仿宋_GB2312" w:eastAsia="仿宋_GB2312"/>
          <w:sz w:val="32"/>
        </w:rPr>
      </w:pPr>
      <w:r>
        <w:rPr>
          <w:rFonts w:hint="eastAsia"/>
          <w:lang w:val="en-US" w:eastAsia="zh-CN"/>
        </w:rPr>
        <w:t>立法听证办法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(2003年8月28日福州市第十二届人民代表大会常务委员会第五次会议通过  2003年9月24日福建省第十届人民代表大会常务委员会第五次会议批准)</w:t>
      </w:r>
    </w:p>
    <w:p>
      <w:pPr>
        <w:pStyle w:val="1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jc w:val="both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sz w:val="32"/>
        </w:rPr>
        <w:t>第一条</w:t>
      </w:r>
      <w:r>
        <w:rPr>
          <w:rFonts w:hint="eastAsia" w:ascii="仿宋_GB2312" w:hAnsi="仿宋_GB2312" w:eastAsia="仿宋_GB2312"/>
          <w:sz w:val="32"/>
        </w:rPr>
        <w:t>  为规范立法听证活动，促进立法民主化、科学化，提高立法质量，根据《中华人民共和国立法法》等法律、法规，结合本市实际，制定本办法。</w:t>
      </w:r>
      <w:bookmarkStart w:id="0" w:name="_GoBack"/>
      <w:bookmarkEnd w:id="0"/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第二条</w:t>
      </w:r>
      <w:r>
        <w:rPr>
          <w:rFonts w:hint="eastAsia" w:ascii="仿宋_GB2312" w:hAnsi="仿宋_GB2312" w:eastAsia="仿宋_GB2312"/>
          <w:sz w:val="32"/>
        </w:rPr>
        <w:t>  本办法所称立法听证，是指市人民代表大会常务委员会在立法过程中，以公开举行会议的形式，听取、收集公众对法规案意见的活动。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第三条</w:t>
      </w:r>
      <w:r>
        <w:rPr>
          <w:rFonts w:hint="eastAsia" w:ascii="仿宋_GB2312" w:hAnsi="仿宋_GB2312" w:eastAsia="仿宋_GB2312"/>
          <w:sz w:val="32"/>
        </w:rPr>
        <w:t>  组织听证会的市人民代表大会常务委员会(以下简称常委会)、市人民代表大会专门委员会(以下简称专门委员会)、市人民代表大会常务委员会工作机构(以下简称常委会工作机构)统称为听证机构。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第四条</w:t>
      </w:r>
      <w:r>
        <w:rPr>
          <w:rFonts w:hint="eastAsia" w:ascii="仿宋_GB2312" w:hAnsi="仿宋_GB2312" w:eastAsia="仿宋_GB2312"/>
          <w:sz w:val="32"/>
        </w:rPr>
        <w:t>  立法听证活动应当遵循公开、公平、公正的原则。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第五条</w:t>
      </w:r>
      <w:r>
        <w:rPr>
          <w:rFonts w:hint="eastAsia" w:ascii="仿宋_GB2312" w:hAnsi="仿宋_GB2312" w:eastAsia="仿宋_GB2312"/>
          <w:sz w:val="32"/>
        </w:rPr>
        <w:t>  有下列情形之一的，可以举行听证会：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(一)对立法必要性有较大争议的；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(二)法规案的内容对公民、法人或者其他组织切身利益有重大影响的；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(三)常委会组成人员之间对法规案的内容有较大意见分歧的；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(四)其他需要举行听证会的。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第六条</w:t>
      </w:r>
      <w:r>
        <w:rPr>
          <w:rFonts w:hint="eastAsia" w:ascii="仿宋_GB2312" w:hAnsi="仿宋_GB2312" w:eastAsia="仿宋_GB2312"/>
          <w:sz w:val="32"/>
        </w:rPr>
        <w:t>  公民、法人或者其他组织向常委会提出举行听证会的建议，由有关的专门委员会或者常委会工作机构受理。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第七条</w:t>
      </w:r>
      <w:r>
        <w:rPr>
          <w:rFonts w:hint="eastAsia" w:ascii="仿宋_GB2312" w:hAnsi="仿宋_GB2312" w:eastAsia="仿宋_GB2312"/>
          <w:sz w:val="32"/>
        </w:rPr>
        <w:t>  常委会组成人员五人以上联名、专门委员会、常委会工作机构，可以向常委会主任会议提出举行听证会的要求。由常委会主任会议决定是否举行听证会。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第八条</w:t>
      </w:r>
      <w:r>
        <w:rPr>
          <w:rFonts w:hint="eastAsia" w:ascii="仿宋_GB2312" w:hAnsi="仿宋_GB2312" w:eastAsia="仿宋_GB2312"/>
          <w:sz w:val="32"/>
        </w:rPr>
        <w:t>  在常委会会议对法规案第一次审议前，听证会的组织，由有关的专门委员会或者常委会工作机构负责。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在常委会会议对法规案第一次审议后，听证会的组织，由常委会或者法制委员会负责。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第九条</w:t>
      </w:r>
      <w:r>
        <w:rPr>
          <w:rFonts w:hint="eastAsia" w:ascii="仿宋_GB2312" w:hAnsi="仿宋_GB2312" w:eastAsia="仿宋_GB2312"/>
          <w:sz w:val="32"/>
        </w:rPr>
        <w:t>  常委会办公厅应当在听证会举行的二十日前将听证会的时间、地点、听证事项和陈述人、旁听人员报名事项等在《福州日报》上公告。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第十条</w:t>
      </w:r>
      <w:r>
        <w:rPr>
          <w:rFonts w:hint="eastAsia" w:ascii="仿宋_GB2312" w:hAnsi="仿宋_GB2312" w:eastAsia="仿宋_GB2312"/>
          <w:sz w:val="32"/>
        </w:rPr>
        <w:t>  常委会举行的听证会，听证人为常委会组成人员；专门委员会举行的听证会，听证人为该委员会组成人员，可以邀请常委会组成人员作为听证人；常委会工作机构举行的听证会，听证人为该工作机构的负责人，可以邀请常委会组成人员或者专门委员会组成人员作为听证人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pacing w:val="-6"/>
          <w:sz w:val="32"/>
        </w:rPr>
        <w:t>听证机构可以邀请市人民代表大会代表作为听证人参加听证会。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常委会组织的听证会，听证人不得少于七人；专门委员会、常委会工作机构组织的听证会，听证人不得少于五人。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第十一条</w:t>
      </w:r>
      <w:r>
        <w:rPr>
          <w:rFonts w:hint="eastAsia" w:ascii="仿宋_GB2312" w:hAnsi="仿宋_GB2312" w:eastAsia="仿宋_GB2312"/>
          <w:sz w:val="32"/>
        </w:rPr>
        <w:t>  公民、法人或者其他组织可以申请作为陈述人出席听证会，提供信息，发表意见。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申请作为陈述人，应当按照公告的要求向听证机构登记，并表明对听证事项所持的观点。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 xml:space="preserve">第十二条  </w:t>
      </w:r>
      <w:r>
        <w:rPr>
          <w:rFonts w:hint="eastAsia" w:ascii="仿宋_GB2312" w:hAnsi="仿宋_GB2312" w:eastAsia="仿宋_GB2312"/>
          <w:sz w:val="32"/>
        </w:rPr>
        <w:t>听证机构按照不同观点的各方人数基本相当的原则，合理确定陈述人。陈述人的人数一般不少于十人，最多不超过二十人。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机构确定陈述人后，应当于听证会举行的七日前通知陈述人，并提供法规案文本和听证内容说明，告知有关注意事项。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 xml:space="preserve">第十三条  </w:t>
      </w:r>
      <w:r>
        <w:rPr>
          <w:rFonts w:hint="eastAsia" w:ascii="仿宋_GB2312" w:hAnsi="仿宋_GB2312" w:eastAsia="仿宋_GB2312"/>
          <w:sz w:val="32"/>
        </w:rPr>
        <w:t>陈述人应当出席听证会，因故不能出席的，应当提前告知听证机构。经听证机构同意，陈述人可以委托他人代为提交书面陈述意见，并在会上宣读。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听证机构认为必要的，可以要求陈述人提供书面材料。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第十四条</w:t>
      </w:r>
      <w:r>
        <w:rPr>
          <w:rFonts w:hint="eastAsia" w:ascii="仿宋_GB2312" w:hAnsi="仿宋_GB2312" w:eastAsia="仿宋_GB2312"/>
          <w:sz w:val="32"/>
        </w:rPr>
        <w:t>  公民、法人或者其他组织要求旁听听证会的，可以向听证机构提出申请。旁听人数及产生方式由听证机构确定。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第十五条</w:t>
      </w:r>
      <w:r>
        <w:rPr>
          <w:rFonts w:hint="eastAsia" w:ascii="仿宋_GB2312" w:hAnsi="仿宋_GB2312" w:eastAsia="仿宋_GB2312"/>
          <w:sz w:val="32"/>
        </w:rPr>
        <w:t>  常委会举行的听证会，由常委会主任、副主任或者秘书长主持。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专门委员会举行的听证会，由专门委员会主任委员或者副主任委员主持。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常委会工作机构举行的听证会，由常委会工作机构主任或者副主任主持。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第十六条</w:t>
      </w:r>
      <w:r>
        <w:rPr>
          <w:rFonts w:hint="eastAsia" w:ascii="仿宋_GB2312" w:hAnsi="仿宋_GB2312" w:eastAsia="仿宋_GB2312"/>
          <w:sz w:val="32"/>
        </w:rPr>
        <w:t>  听证会开始前，工作人员应当向主持人报告陈述人到会情况，并宣布会场纪律。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听证会开始时，主持人应当宣布听证事项，告知陈述人的权利和义务。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听证机构可以要求法规提案人到会就法规案的主要内容作出说明。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第十七条</w:t>
      </w:r>
      <w:r>
        <w:rPr>
          <w:rFonts w:hint="eastAsia" w:ascii="仿宋_GB2312" w:hAnsi="仿宋_GB2312" w:eastAsia="仿宋_GB2312"/>
          <w:sz w:val="32"/>
        </w:rPr>
        <w:t>  陈述人应当按照主持人宣布的发言顺序，在规定的时间内，围绕听证事项发表意见，陈述观点和理由。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陈述人需要延长发言时间或者补充发言的，应当征得主持人的同意。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第十八条</w:t>
      </w:r>
      <w:r>
        <w:rPr>
          <w:rFonts w:hint="eastAsia" w:ascii="仿宋_GB2312" w:hAnsi="仿宋_GB2312" w:eastAsia="仿宋_GB2312"/>
          <w:sz w:val="32"/>
        </w:rPr>
        <w:t>  主持人可以询问陈述人；经主持人同意，其他听证人也可以向陈述人询问。陈述人应当回答听证人的询问，但与听证事项无关的问题除外。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第十九条</w:t>
      </w:r>
      <w:r>
        <w:rPr>
          <w:rFonts w:hint="eastAsia" w:ascii="仿宋_GB2312" w:hAnsi="仿宋_GB2312" w:eastAsia="仿宋_GB2312"/>
          <w:sz w:val="32"/>
        </w:rPr>
        <w:t>  在主持人的主持下，各方陈述人可以就主要事项及争议焦点进行辩论。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第二十条</w:t>
      </w:r>
      <w:r>
        <w:rPr>
          <w:rFonts w:hint="eastAsia" w:ascii="仿宋_GB2312" w:hAnsi="仿宋_GB2312" w:eastAsia="仿宋_GB2312"/>
          <w:sz w:val="32"/>
        </w:rPr>
        <w:t>  对违反听证会纪律的，主持人应当给予警告并予以制止；拒不改正的，责令其离开会场。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第二十一条</w:t>
      </w:r>
      <w:r>
        <w:rPr>
          <w:rFonts w:hint="eastAsia" w:ascii="仿宋_GB2312" w:hAnsi="仿宋_GB2312" w:eastAsia="仿宋_GB2312"/>
          <w:sz w:val="32"/>
        </w:rPr>
        <w:t>  遇有特殊情况的，由常委会主任会议决定听证会延期举行或者终止。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第二十二条</w:t>
      </w:r>
      <w:r>
        <w:rPr>
          <w:rFonts w:hint="eastAsia" w:ascii="仿宋_GB2312" w:hAnsi="仿宋_GB2312" w:eastAsia="仿宋_GB2312"/>
          <w:sz w:val="32"/>
        </w:rPr>
        <w:t>  听证会工作人员应当制作听证记录。听证记录一般以书面形式作出，必要时也可以以录音或者录像的方式进行。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听证记录由主持人、记录员签名。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第二十三条</w:t>
      </w:r>
      <w:r>
        <w:rPr>
          <w:rFonts w:hint="eastAsia" w:ascii="仿宋_GB2312" w:hAnsi="仿宋_GB2312" w:eastAsia="仿宋_GB2312"/>
          <w:sz w:val="32"/>
        </w:rPr>
        <w:t>  听证会结束后，主持人和其他听证人应当进行合议，制作合议记录，并在合议记录上签名。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第二十四条</w:t>
      </w:r>
      <w:r>
        <w:rPr>
          <w:rFonts w:hint="eastAsia" w:ascii="仿宋_GB2312" w:hAnsi="仿宋_GB2312" w:eastAsia="仿宋_GB2312"/>
          <w:sz w:val="32"/>
        </w:rPr>
        <w:t>  听证机构应当在听证会结束后五个工作日内，根据听证记录和合议记录形成听证报告。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听证报告应当包括以下内容：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(一)听证会的时间、地点；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(二)听证内容；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(三)主持人以及参加听证会的其他听证人，陈述人；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(四)陈述人提出的主要意见、观点和理由；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(五)听证人分析处理意见。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第二十五条</w:t>
      </w:r>
      <w:r>
        <w:rPr>
          <w:rFonts w:hint="eastAsia" w:ascii="仿宋_GB2312" w:hAnsi="仿宋_GB2312" w:eastAsia="仿宋_GB2312"/>
          <w:sz w:val="32"/>
        </w:rPr>
        <w:t>  听证机构应当将听证报告提交常委会会议和法制委员会会议。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第二十六条</w:t>
      </w:r>
      <w:r>
        <w:rPr>
          <w:rFonts w:hint="eastAsia" w:ascii="仿宋_GB2312" w:hAnsi="仿宋_GB2312" w:eastAsia="仿宋_GB2312"/>
          <w:sz w:val="32"/>
        </w:rPr>
        <w:t>  本办法自2003年11月1日起施行。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_GB2312" w:hAnsi="仿宋_GB2312" w:eastAsia="仿宋_GB2312"/>
          <w:kern w:val="0"/>
          <w:sz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Latha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Constantia">
    <w:altName w:val="Shruti"/>
    <w:panose1 w:val="02030602050306030303"/>
    <w:charset w:val="00"/>
    <w:family w:val="auto"/>
    <w:pitch w:val="default"/>
    <w:sig w:usb0="00000000" w:usb1="00000000" w:usb2="00000000" w:usb3="00000000" w:csb0="2000019F" w:csb1="00000000"/>
  </w:font>
  <w:font w:name="Consolas">
    <w:altName w:val="Shruti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CordiaUPC">
    <w:altName w:val="Latha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Shruti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altName w:val="Harrington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Kalinga">
    <w:altName w:val="Shrut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hrut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BB7528F"/>
    <w:rsid w:val="11621F6A"/>
    <w:rsid w:val="13D32B24"/>
    <w:rsid w:val="14704D28"/>
    <w:rsid w:val="14DF1382"/>
    <w:rsid w:val="1EA33493"/>
    <w:rsid w:val="23364216"/>
    <w:rsid w:val="23DB78BE"/>
    <w:rsid w:val="271E2FC5"/>
    <w:rsid w:val="273E4908"/>
    <w:rsid w:val="2B163808"/>
    <w:rsid w:val="35FF24AD"/>
    <w:rsid w:val="3B376E18"/>
    <w:rsid w:val="3BE85E9A"/>
    <w:rsid w:val="43B111F5"/>
    <w:rsid w:val="465A1F42"/>
    <w:rsid w:val="48893532"/>
    <w:rsid w:val="4AD92A82"/>
    <w:rsid w:val="533D7A46"/>
    <w:rsid w:val="53790912"/>
    <w:rsid w:val="667D2408"/>
    <w:rsid w:val="6808010B"/>
    <w:rsid w:val="70FC57B5"/>
    <w:rsid w:val="744A5E51"/>
    <w:rsid w:val="75412F36"/>
    <w:rsid w:val="7AB2498F"/>
    <w:rsid w:val="7FB467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qFormat/>
    <w:uiPriority w:val="0"/>
    <w:rPr>
      <w:rFonts w:eastAsia="宋体"/>
      <w:kern w:val="44"/>
      <w:sz w:val="44"/>
    </w:rPr>
  </w:style>
  <w:style w:type="character" w:customStyle="1" w:styleId="10">
    <w:name w:val="txtlmbt1"/>
    <w:basedOn w:val="7"/>
    <w:qFormat/>
    <w:uiPriority w:val="0"/>
    <w:rPr>
      <w:b/>
      <w:spacing w:val="90"/>
      <w:sz w:val="27"/>
    </w:rPr>
  </w:style>
  <w:style w:type="paragraph" w:customStyle="1" w:styleId="11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paragraph" w:customStyle="1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2017-02-14T08:15:04Z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