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line="580" w:lineRule="exact"/>
        <w:ind w:left="0" w:leftChars="0" w:right="0" w:rightChars="0"/>
        <w:jc w:val="center"/>
        <w:textAlignment w:val="baseline"/>
        <w:outlineLvl w:val="9"/>
        <w:rPr>
          <w:rFonts w:hint="eastAsia" w:ascii="宋体" w:hAnsi="宋体" w:eastAsia="宋体"/>
          <w:b/>
          <w:bCs/>
          <w:kern w:val="0"/>
          <w:sz w:val="44"/>
          <w:szCs w:val="44"/>
        </w:rPr>
      </w:pPr>
    </w:p>
    <w:p>
      <w:pPr>
        <w:keepNext w:val="0"/>
        <w:keepLines w:val="0"/>
        <w:pageBreakBefore w:val="0"/>
        <w:widowControl w:val="0"/>
        <w:kinsoku/>
        <w:wordWrap/>
        <w:overflowPunct/>
        <w:topLinePunct w:val="0"/>
        <w:bidi w:val="0"/>
        <w:adjustRightInd/>
        <w:snapToGrid/>
        <w:spacing w:line="580" w:lineRule="exact"/>
        <w:ind w:left="0" w:leftChars="0" w:right="0" w:rightChars="0"/>
        <w:jc w:val="center"/>
        <w:textAlignment w:val="baseline"/>
        <w:outlineLvl w:val="9"/>
        <w:rPr>
          <w:rFonts w:hint="eastAsia" w:ascii="方正小标宋简体" w:hAnsi="方正小标宋_GBK" w:eastAsia="方正小标宋简体"/>
          <w:b/>
          <w:bCs/>
          <w:kern w:val="0"/>
          <w:sz w:val="44"/>
          <w:szCs w:val="44"/>
        </w:rPr>
      </w:pPr>
      <w:r>
        <w:rPr>
          <w:rFonts w:hint="eastAsia" w:ascii="宋体" w:hAnsi="宋体" w:eastAsia="宋体"/>
          <w:b/>
          <w:bCs/>
          <w:kern w:val="0"/>
          <w:sz w:val="44"/>
          <w:szCs w:val="44"/>
        </w:rPr>
        <w:t>福州市闽菜技艺文化保护规定</w:t>
      </w:r>
    </w:p>
    <w:p>
      <w:pPr>
        <w:pStyle w:val="15"/>
        <w:keepNext w:val="0"/>
        <w:keepLines w:val="0"/>
        <w:pageBreakBefore w:val="0"/>
        <w:widowControl w:val="0"/>
        <w:kinsoku/>
        <w:wordWrap/>
        <w:overflowPunct/>
        <w:topLinePunct w:val="0"/>
        <w:autoSpaceDE/>
        <w:autoSpaceDN/>
        <w:bidi w:val="0"/>
        <w:adjustRightInd/>
        <w:snapToGrid/>
        <w:spacing w:before="289" w:beforeLines="50" w:line="240" w:lineRule="auto"/>
        <w:ind w:left="0" w:leftChars="0" w:right="0" w:rightChars="0" w:firstLine="0" w:firstLineChars="0"/>
        <w:jc w:val="center"/>
        <w:textAlignment w:val="baseline"/>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（2017年11月1日福州市第十五届人民代表大会</w:t>
      </w:r>
    </w:p>
    <w:p>
      <w:pPr>
        <w:pStyle w:val="15"/>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baseline"/>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常务委员会第六次会议通过</w:t>
      </w:r>
    </w:p>
    <w:p>
      <w:pPr>
        <w:pStyle w:val="15"/>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baseline"/>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2017年11月24日福建省第十二届人民代表大会</w:t>
      </w:r>
    </w:p>
    <w:p>
      <w:pPr>
        <w:pStyle w:val="15"/>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baseline"/>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lang w:val="en-US" w:eastAsia="zh-CN"/>
        </w:rPr>
        <w:t>常务委员会第三十二次会议批准</w:t>
      </w:r>
      <w:r>
        <w:rPr>
          <w:rFonts w:hint="eastAsia" w:ascii="楷体_GB2312" w:hAnsi="楷体_GB2312" w:eastAsia="楷体_GB2312" w:cs="楷体_GB2312"/>
          <w:spacing w:val="0"/>
          <w:sz w:val="32"/>
          <w:szCs w:val="32"/>
        </w:rPr>
        <w:t>）</w:t>
      </w:r>
    </w:p>
    <w:p>
      <w:pPr>
        <w:keepNext w:val="0"/>
        <w:keepLines w:val="0"/>
        <w:pageBreakBefore w:val="0"/>
        <w:widowControl w:val="0"/>
        <w:kinsoku/>
        <w:wordWrap/>
        <w:overflowPunct/>
        <w:topLinePunct w:val="0"/>
        <w:bidi w:val="0"/>
        <w:adjustRightInd/>
        <w:snapToGrid/>
        <w:spacing w:line="240" w:lineRule="auto"/>
        <w:ind w:left="0" w:leftChars="0" w:right="0" w:rightChars="0"/>
        <w:jc w:val="center"/>
        <w:textAlignment w:val="auto"/>
        <w:outlineLvl w:val="9"/>
        <w:rPr>
          <w:rFonts w:hint="eastAsia" w:ascii="方正楷体简体" w:eastAsia="方正楷体简体"/>
          <w:sz w:val="32"/>
          <w:szCs w:val="32"/>
        </w:rPr>
      </w:pP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黑体" w:eastAsia="黑体"/>
          <w:sz w:val="32"/>
          <w:szCs w:val="32"/>
        </w:rPr>
        <w:t>第一条</w:t>
      </w:r>
      <w:r>
        <w:rPr>
          <w:rFonts w:hint="eastAsia" w:ascii="方正仿宋简体" w:hAnsi="宋体" w:eastAsia="仿宋_GB2312"/>
          <w:sz w:val="32"/>
          <w:szCs w:val="32"/>
        </w:rPr>
        <w:t xml:space="preserve"> </w:t>
      </w:r>
      <w:r>
        <w:rPr>
          <w:rFonts w:hint="eastAsia" w:ascii="方正仿宋简体" w:hAnsi="仿宋_GB2312" w:eastAsia="仿宋_GB2312"/>
          <w:sz w:val="32"/>
          <w:szCs w:val="32"/>
        </w:rPr>
        <w:t>为了加强闽菜技艺文化的保护，弘扬优秀传统饮食文化，促</w:t>
      </w:r>
      <w:r>
        <w:rPr>
          <w:rFonts w:hint="eastAsia" w:ascii="方正仿宋简体" w:eastAsia="仿宋_GB2312"/>
          <w:sz w:val="32"/>
          <w:szCs w:val="32"/>
        </w:rPr>
        <w:t>进闽菜产业健康发展，根据有关法律法规，结合本市实际，制定本规定。</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第二条</w:t>
      </w:r>
      <w:r>
        <w:rPr>
          <w:rFonts w:hint="eastAsia" w:ascii="方正仿宋简体" w:hAnsi="宋体" w:eastAsia="仿宋_GB2312"/>
          <w:sz w:val="32"/>
          <w:szCs w:val="32"/>
        </w:rPr>
        <w:t xml:space="preserve"> </w:t>
      </w:r>
      <w:r>
        <w:rPr>
          <w:rFonts w:hint="eastAsia" w:ascii="方正仿宋简体" w:hAnsi="仿宋_GB2312" w:eastAsia="仿宋_GB2312"/>
          <w:sz w:val="32"/>
          <w:szCs w:val="32"/>
        </w:rPr>
        <w:t>本市行政区域内闽菜技艺文化的保护、传承、推广、创新等工作适</w:t>
      </w:r>
      <w:r>
        <w:rPr>
          <w:rFonts w:hint="eastAsia" w:ascii="方正仿宋简体" w:eastAsia="仿宋_GB2312"/>
          <w:sz w:val="32"/>
          <w:szCs w:val="32"/>
        </w:rPr>
        <w:t>用本规定。</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黑体" w:eastAsia="黑体"/>
          <w:sz w:val="32"/>
          <w:szCs w:val="32"/>
        </w:rPr>
        <w:t>第三条</w:t>
      </w:r>
      <w:r>
        <w:rPr>
          <w:rFonts w:hint="eastAsia" w:ascii="方正仿宋简体" w:hAnsi="宋体" w:eastAsia="仿宋_GB2312"/>
          <w:sz w:val="32"/>
          <w:szCs w:val="32"/>
        </w:rPr>
        <w:t xml:space="preserve"> </w:t>
      </w:r>
      <w:r>
        <w:rPr>
          <w:rFonts w:hint="eastAsia" w:ascii="方正仿宋简体" w:eastAsia="仿宋_GB2312"/>
          <w:sz w:val="32"/>
          <w:szCs w:val="32"/>
        </w:rPr>
        <w:t>本规定所称的闽菜技艺文化，是指闽菜在福州形成、发展过程中所产生的地方饮食文化的总称，包括：</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eastAsia="仿宋_GB2312"/>
          <w:sz w:val="32"/>
          <w:szCs w:val="32"/>
        </w:rPr>
        <w:t>（一）刀功、烹饪、果蔬雕刻、装盘美术等制作技艺；</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eastAsia="仿宋_GB2312"/>
          <w:sz w:val="32"/>
          <w:szCs w:val="32"/>
        </w:rPr>
        <w:t>（二）传统饮食习俗；</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eastAsia="仿宋_GB2312"/>
          <w:sz w:val="32"/>
          <w:szCs w:val="32"/>
        </w:rPr>
        <w:t>（三）历史名店、名菜、名小吃等传统品牌；</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eastAsia="仿宋_GB2312"/>
          <w:sz w:val="32"/>
          <w:szCs w:val="32"/>
        </w:rPr>
        <w:t>（四）具有历史和艺术价值的相关文献史料、民间文学等；</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（五）与上述各项相关的代表性资料和实物。</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pacing w:val="0"/>
          <w:sz w:val="32"/>
          <w:szCs w:val="32"/>
        </w:rPr>
      </w:pPr>
      <w:r>
        <w:rPr>
          <w:rFonts w:hint="eastAsia" w:ascii="黑体" w:eastAsia="黑体"/>
          <w:spacing w:val="0"/>
          <w:sz w:val="32"/>
          <w:szCs w:val="32"/>
        </w:rPr>
        <w:t>第四条</w:t>
      </w:r>
      <w:r>
        <w:rPr>
          <w:rFonts w:hint="eastAsia" w:ascii="方正仿宋简体" w:hAnsi="宋体" w:eastAsia="仿宋_GB2312"/>
          <w:spacing w:val="0"/>
          <w:sz w:val="32"/>
          <w:szCs w:val="32"/>
        </w:rPr>
        <w:t xml:space="preserve"> </w:t>
      </w:r>
      <w:r>
        <w:rPr>
          <w:rFonts w:hint="eastAsia" w:ascii="方正仿宋简体" w:hAnsi="仿宋_GB2312" w:eastAsia="仿宋_GB2312"/>
          <w:spacing w:val="0"/>
          <w:sz w:val="32"/>
          <w:szCs w:val="32"/>
        </w:rPr>
        <w:t>闽菜技艺文化保</w:t>
      </w:r>
      <w:r>
        <w:rPr>
          <w:rFonts w:hint="eastAsia" w:ascii="方正仿宋简体" w:eastAsia="仿宋_GB2312"/>
          <w:spacing w:val="0"/>
          <w:sz w:val="32"/>
          <w:szCs w:val="32"/>
        </w:rPr>
        <w:t>护工作应当遵循政府扶持、行业促进和社会参与相结合的原则，做到保护与发展并重，传承与创新相结合。</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第五条</w:t>
      </w:r>
      <w:r>
        <w:rPr>
          <w:rFonts w:hint="eastAsia" w:ascii="方正仿宋简体" w:hAnsi="宋体" w:eastAsia="仿宋_GB2312"/>
          <w:sz w:val="32"/>
          <w:szCs w:val="32"/>
        </w:rPr>
        <w:t xml:space="preserve"> </w:t>
      </w:r>
      <w:r>
        <w:rPr>
          <w:rFonts w:hint="eastAsia" w:ascii="方正仿宋简体" w:hAnsi="仿宋_GB2312" w:eastAsia="仿宋_GB2312"/>
          <w:sz w:val="32"/>
          <w:szCs w:val="32"/>
        </w:rPr>
        <w:t>市人民政府应当将闽菜技艺文化的保护工作纳入国民经济和社会发展规划，所需经费列入财政预算。</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黑体" w:eastAsia="黑体"/>
          <w:sz w:val="32"/>
          <w:szCs w:val="32"/>
        </w:rPr>
        <w:t>第六条</w:t>
      </w:r>
      <w:r>
        <w:rPr>
          <w:rFonts w:hint="eastAsia" w:ascii="方正仿宋简体" w:hAnsi="宋体" w:eastAsia="仿宋_GB2312"/>
          <w:sz w:val="32"/>
          <w:szCs w:val="32"/>
        </w:rPr>
        <w:t xml:space="preserve"> </w:t>
      </w:r>
      <w:r>
        <w:rPr>
          <w:rFonts w:hint="eastAsia" w:ascii="方正仿宋简体" w:eastAsia="仿宋_GB2312"/>
          <w:sz w:val="32"/>
          <w:szCs w:val="32"/>
        </w:rPr>
        <w:t>市商务行政主管部门是闽菜技艺文化保护的行政主管部门，负责组织实施本规定。</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文化、财政、</w:t>
      </w:r>
      <w:r>
        <w:rPr>
          <w:rFonts w:hint="eastAsia" w:ascii="方正仿宋简体" w:eastAsia="仿宋_GB2312"/>
          <w:sz w:val="32"/>
          <w:szCs w:val="32"/>
        </w:rPr>
        <w:t>教育、旅游、人力资源、市场监督</w:t>
      </w:r>
      <w:r>
        <w:rPr>
          <w:rFonts w:hint="eastAsia" w:ascii="方正仿宋简体" w:hAnsi="仿宋_GB2312" w:eastAsia="仿宋_GB2312"/>
          <w:sz w:val="32"/>
          <w:szCs w:val="32"/>
        </w:rPr>
        <w:t>等行政主管部门应当按照职责分工，共同做好闽菜技艺文化保护工作。</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 xml:space="preserve">第七条 </w:t>
      </w:r>
      <w:r>
        <w:rPr>
          <w:rFonts w:hint="eastAsia" w:ascii="方正仿宋简体" w:hAnsi="仿宋_GB2312" w:eastAsia="仿宋_GB2312"/>
          <w:sz w:val="32"/>
          <w:szCs w:val="32"/>
        </w:rPr>
        <w:t>餐饮烹饪</w:t>
      </w:r>
      <w:r>
        <w:rPr>
          <w:rFonts w:hint="eastAsia" w:ascii="方正仿宋简体" w:eastAsia="仿宋_GB2312"/>
          <w:sz w:val="32"/>
          <w:szCs w:val="32"/>
        </w:rPr>
        <w:t>行业协会应当发挥对闽菜技艺文化保护的组织和桥梁作用，加强服务、</w:t>
      </w:r>
      <w:r>
        <w:rPr>
          <w:rFonts w:hint="eastAsia" w:ascii="方正仿宋简体" w:hAnsi="仿宋_GB2312" w:eastAsia="仿宋_GB2312"/>
          <w:sz w:val="32"/>
          <w:szCs w:val="32"/>
        </w:rPr>
        <w:t>指导以及行业自律，促进闽菜技艺文化交流与融合。</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第八条</w:t>
      </w:r>
      <w:r>
        <w:rPr>
          <w:rFonts w:hint="eastAsia" w:ascii="方正仿宋简体" w:hAnsi="宋体" w:eastAsia="仿宋_GB2312"/>
          <w:sz w:val="32"/>
          <w:szCs w:val="32"/>
        </w:rPr>
        <w:t xml:space="preserve"> </w:t>
      </w:r>
      <w:r>
        <w:rPr>
          <w:rFonts w:hint="eastAsia" w:ascii="方正仿宋简体" w:eastAsia="仿宋_GB2312"/>
          <w:sz w:val="32"/>
          <w:szCs w:val="32"/>
        </w:rPr>
        <w:t>市、县（市、区）商务行政主管部门应当会同文化、旅游、人力资源等行政主管部门加强闽菜技艺文化宣传，开展闽菜技艺文化交流，推广闽菜文化旅游，组</w:t>
      </w:r>
      <w:r>
        <w:rPr>
          <w:rFonts w:hint="eastAsia" w:ascii="方正仿宋简体" w:hAnsi="仿宋_GB2312" w:eastAsia="仿宋_GB2312"/>
          <w:sz w:val="32"/>
          <w:szCs w:val="32"/>
        </w:rPr>
        <w:t>织闽菜技艺比赛等。</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第九条</w:t>
      </w:r>
      <w:r>
        <w:rPr>
          <w:rFonts w:hint="eastAsia" w:ascii="方正仿宋简体" w:hAnsi="宋体" w:eastAsia="仿宋_GB2312"/>
          <w:sz w:val="32"/>
          <w:szCs w:val="32"/>
        </w:rPr>
        <w:t xml:space="preserve"> </w:t>
      </w:r>
      <w:r>
        <w:rPr>
          <w:rFonts w:hint="eastAsia" w:ascii="方正仿宋简体" w:eastAsia="仿宋_GB2312"/>
          <w:sz w:val="32"/>
          <w:szCs w:val="32"/>
        </w:rPr>
        <w:t>市商务行政主管部门应当组织开展闽菜技艺文化的调查、征集、整理工作，建立名店、名厨、名菜以及菜谱的档</w:t>
      </w:r>
      <w:r>
        <w:rPr>
          <w:rFonts w:hint="eastAsia" w:ascii="方正仿宋简体" w:hAnsi="仿宋_GB2312" w:eastAsia="仿宋_GB2312"/>
          <w:sz w:val="32"/>
          <w:szCs w:val="32"/>
        </w:rPr>
        <w:t>案和数据库。</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闽菜技艺文化调查、征集应当征得被调查、征集对象的同意，不得损害其合法权益。</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 xml:space="preserve">第十条 </w:t>
      </w:r>
      <w:r>
        <w:rPr>
          <w:rFonts w:hint="eastAsia" w:ascii="方正仿宋简体" w:hAnsi="仿宋_GB2312" w:eastAsia="仿宋_GB2312"/>
          <w:sz w:val="32"/>
          <w:szCs w:val="32"/>
        </w:rPr>
        <w:t>闽菜技艺文化实行保护名录制度。</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市商务行政主管部门负</w:t>
      </w:r>
      <w:r>
        <w:rPr>
          <w:rFonts w:hint="eastAsia" w:ascii="方正仿宋简体" w:eastAsia="仿宋_GB2312"/>
          <w:sz w:val="32"/>
          <w:szCs w:val="32"/>
        </w:rPr>
        <w:t>责编制闽菜技艺保护名录，报</w:t>
      </w:r>
      <w:r>
        <w:rPr>
          <w:rFonts w:hint="eastAsia" w:ascii="方正仿宋简体" w:hAnsi="仿宋_GB2312" w:eastAsia="仿宋_GB2312"/>
          <w:sz w:val="32"/>
          <w:szCs w:val="32"/>
        </w:rPr>
        <w:t>市人民政府批准后公布。</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eastAsia="仿宋_GB2312"/>
          <w:sz w:val="32"/>
          <w:szCs w:val="32"/>
        </w:rPr>
        <w:t>拟列入保护名录的项目，应当组织专家论证并向社会公开征求意见。</w:t>
      </w:r>
      <w:r>
        <w:rPr>
          <w:rFonts w:hint="eastAsia" w:ascii="方正仿宋简体" w:hAnsi="仿宋_GB2312" w:eastAsia="仿宋_GB2312"/>
          <w:sz w:val="32"/>
          <w:szCs w:val="32"/>
        </w:rPr>
        <w:t xml:space="preserve">  </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 xml:space="preserve">第十一条 </w:t>
      </w:r>
      <w:r>
        <w:rPr>
          <w:rFonts w:hint="eastAsia" w:ascii="方正仿宋简体" w:eastAsia="仿宋_GB2312"/>
          <w:sz w:val="32"/>
          <w:szCs w:val="32"/>
        </w:rPr>
        <w:t>市商务</w:t>
      </w:r>
      <w:r>
        <w:rPr>
          <w:rFonts w:hint="eastAsia" w:ascii="方正仿宋简体" w:hAnsi="仿宋_GB2312" w:eastAsia="仿宋_GB2312"/>
          <w:sz w:val="32"/>
          <w:szCs w:val="32"/>
        </w:rPr>
        <w:t>行政主管部门应当对闽菜技艺保护名录项目</w:t>
      </w:r>
      <w:r>
        <w:rPr>
          <w:rFonts w:hint="eastAsia" w:ascii="黑体" w:hAnsi="仿宋_GB2312" w:eastAsia="黑体"/>
          <w:sz w:val="32"/>
          <w:szCs w:val="32"/>
        </w:rPr>
        <w:t>，</w:t>
      </w:r>
      <w:r>
        <w:rPr>
          <w:rFonts w:hint="eastAsia" w:ascii="方正仿宋简体" w:hAnsi="仿宋_GB2312" w:eastAsia="仿宋_GB2312"/>
          <w:sz w:val="32"/>
          <w:szCs w:val="32"/>
        </w:rPr>
        <w:t>采取下列保护措施：</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 xml:space="preserve">（一）对濒临失传的品种和技艺采用文字和数字化等方式进行抢救，对已失传的品种和技艺进行补救或者发掘； </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hAnsi="仿宋_GB2312" w:eastAsia="仿宋_GB2312"/>
          <w:sz w:val="32"/>
          <w:szCs w:val="32"/>
        </w:rPr>
        <w:t>（二）</w:t>
      </w:r>
      <w:r>
        <w:rPr>
          <w:rFonts w:hint="eastAsia" w:ascii="方正仿宋简体" w:eastAsia="仿宋_GB2312"/>
          <w:sz w:val="32"/>
          <w:szCs w:val="32"/>
        </w:rPr>
        <w:t xml:space="preserve">收集整理资料，并登记、建档； </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eastAsia="仿宋_GB2312"/>
          <w:sz w:val="32"/>
          <w:szCs w:val="32"/>
        </w:rPr>
        <w:t>（三）鼓励、支持开展带徒、传艺、交流等活动；</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eastAsia="仿宋_GB2312"/>
          <w:sz w:val="32"/>
          <w:szCs w:val="32"/>
        </w:rPr>
        <w:t>（四）鼓励、支持申报非物质文化遗产代表性名录项目。</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shd w:val="clear" w:color="auto" w:fill="7F7F7F"/>
        </w:rPr>
      </w:pPr>
      <w:r>
        <w:rPr>
          <w:rFonts w:hint="eastAsia" w:ascii="黑体" w:eastAsia="黑体"/>
          <w:sz w:val="32"/>
          <w:szCs w:val="32"/>
        </w:rPr>
        <w:t>第十二条</w:t>
      </w:r>
      <w:r>
        <w:rPr>
          <w:rFonts w:hint="eastAsia" w:ascii="方正仿宋简体" w:hAnsi="仿宋_GB2312" w:eastAsia="仿宋_GB2312"/>
          <w:sz w:val="32"/>
          <w:szCs w:val="32"/>
        </w:rPr>
        <w:t xml:space="preserve"> 列入闽菜技艺保护名录的项目，可以评定项目代表性传承人。</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shd w:val="clear" w:color="auto" w:fill="7F7F7F"/>
        </w:rPr>
      </w:pPr>
      <w:r>
        <w:rPr>
          <w:rFonts w:hint="eastAsia" w:ascii="方正仿宋简体" w:hAnsi="仿宋_GB2312" w:eastAsia="仿宋_GB2312"/>
          <w:sz w:val="32"/>
          <w:szCs w:val="32"/>
        </w:rPr>
        <w:t>符合下列条件的个人可以向市商务行政主管部门申请评定为闽菜技艺项目代表性传承人，由市商务行政主管部门组织专家评审并公示后，报市人民政府批准公布：</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（一）熟练掌握闽菜技艺保护名录中某项传统制作技艺；</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shd w:val="clear" w:color="auto" w:fill="7F7F7F"/>
        </w:rPr>
      </w:pPr>
      <w:r>
        <w:rPr>
          <w:rFonts w:hint="eastAsia" w:ascii="方正仿宋简体" w:hAnsi="仿宋_GB2312" w:eastAsia="仿宋_GB2312"/>
          <w:sz w:val="32"/>
          <w:szCs w:val="32"/>
        </w:rPr>
        <w:t>（二）保存</w:t>
      </w:r>
      <w:r>
        <w:rPr>
          <w:rFonts w:hint="eastAsia" w:ascii="方正仿宋简体" w:eastAsia="仿宋_GB2312"/>
          <w:sz w:val="32"/>
          <w:szCs w:val="32"/>
        </w:rPr>
        <w:t>一定数量和价值的闽菜</w:t>
      </w:r>
      <w:r>
        <w:rPr>
          <w:rFonts w:hint="eastAsia" w:ascii="方正仿宋简体" w:hAnsi="仿宋_GB2312" w:eastAsia="仿宋_GB2312"/>
          <w:sz w:val="32"/>
          <w:szCs w:val="32"/>
        </w:rPr>
        <w:t>技艺资料或者实物；</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（三）在县级以上区域范围内有较大影响力。</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第十三条</w:t>
      </w:r>
      <w:r>
        <w:rPr>
          <w:rFonts w:hint="eastAsia" w:ascii="方正仿宋简体" w:hAnsi="宋体" w:eastAsia="仿宋_GB2312"/>
          <w:sz w:val="32"/>
          <w:szCs w:val="32"/>
        </w:rPr>
        <w:t xml:space="preserve"> </w:t>
      </w:r>
      <w:r>
        <w:rPr>
          <w:rFonts w:hint="eastAsia" w:ascii="方正仿宋简体" w:hAnsi="仿宋_GB2312" w:eastAsia="仿宋_GB2312"/>
          <w:sz w:val="32"/>
          <w:szCs w:val="32"/>
        </w:rPr>
        <w:t>闽菜技艺项目代表性传承人可以向市商务行政主管部门申请成立</w:t>
      </w:r>
      <w:r>
        <w:rPr>
          <w:rFonts w:hint="eastAsia" w:ascii="方正仿宋简体" w:eastAsia="仿宋_GB2312"/>
          <w:sz w:val="32"/>
          <w:szCs w:val="32"/>
        </w:rPr>
        <w:t>闽菜技艺项目代表性传承人工作</w:t>
      </w:r>
      <w:r>
        <w:rPr>
          <w:rFonts w:hint="eastAsia" w:ascii="方正仿宋简体" w:hAnsi="仿宋_GB2312" w:eastAsia="仿宋_GB2312"/>
          <w:sz w:val="32"/>
          <w:szCs w:val="32"/>
        </w:rPr>
        <w:t>室，报市人民政府批准后公布。</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hAnsi="仿宋_GB2312" w:eastAsia="仿宋_GB2312"/>
          <w:sz w:val="32"/>
          <w:szCs w:val="32"/>
        </w:rPr>
        <w:t>闽菜技</w:t>
      </w:r>
      <w:r>
        <w:rPr>
          <w:rFonts w:hint="eastAsia" w:ascii="方正仿宋简体" w:eastAsia="仿宋_GB2312"/>
          <w:sz w:val="32"/>
          <w:szCs w:val="32"/>
        </w:rPr>
        <w:t>艺项目代表性传承人工作室应当具有传艺所需的场地和相应设备，并履行下列义务：</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eastAsia="仿宋_GB2312"/>
          <w:sz w:val="32"/>
          <w:szCs w:val="32"/>
        </w:rPr>
        <w:t>（一）培养掌握相应技艺的高级技能人才；</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eastAsia="仿宋_GB2312"/>
          <w:sz w:val="32"/>
          <w:szCs w:val="32"/>
        </w:rPr>
        <w:t>（二）到相关院校展示并传授该项技艺；</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方正仿宋简体" w:eastAsia="仿宋_GB2312"/>
          <w:sz w:val="32"/>
          <w:szCs w:val="32"/>
        </w:rPr>
        <w:t>（三）挖掘、整理该项技艺，编写相关菜谱，通过数字化等方式进行记录保存。</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市商务行政</w:t>
      </w:r>
      <w:r>
        <w:rPr>
          <w:rFonts w:hint="eastAsia" w:ascii="方正仿宋简体" w:eastAsia="仿宋_GB2312"/>
          <w:sz w:val="32"/>
          <w:szCs w:val="32"/>
        </w:rPr>
        <w:t>主管部门应当对闽菜技艺项目代表性传承人工作室予以资金支持，对其工作情况</w:t>
      </w:r>
      <w:r>
        <w:rPr>
          <w:rFonts w:hint="eastAsia" w:ascii="方正仿宋简体" w:hAnsi="仿宋_GB2312" w:eastAsia="仿宋_GB2312"/>
          <w:sz w:val="32"/>
          <w:szCs w:val="32"/>
        </w:rPr>
        <w:t>进行指导、监督，并定期开展考核评估。</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黑体" w:hAnsi="仿宋_GB2312" w:eastAsia="黑体"/>
          <w:sz w:val="32"/>
          <w:szCs w:val="32"/>
        </w:rPr>
      </w:pPr>
      <w:r>
        <w:rPr>
          <w:rFonts w:hint="eastAsia" w:ascii="黑体" w:hAnsi="仿宋_GB2312" w:eastAsia="黑体"/>
          <w:sz w:val="32"/>
          <w:szCs w:val="32"/>
        </w:rPr>
        <w:t xml:space="preserve">第十四条 </w:t>
      </w:r>
      <w:r>
        <w:rPr>
          <w:rFonts w:hint="eastAsia" w:ascii="方正仿宋简体" w:eastAsia="仿宋_GB2312"/>
          <w:sz w:val="32"/>
          <w:szCs w:val="32"/>
        </w:rPr>
        <w:t>闽菜技艺项目代表性传承人及工作室评定和管理的具体办法，由市人民政府另行制定。</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黑体" w:eastAsia="黑体"/>
          <w:sz w:val="32"/>
          <w:szCs w:val="32"/>
        </w:rPr>
        <w:t>第十五条</w:t>
      </w:r>
      <w:r>
        <w:rPr>
          <w:rFonts w:hint="eastAsia" w:ascii="方正仿宋简体" w:hAnsi="宋体" w:eastAsia="仿宋_GB2312"/>
          <w:sz w:val="32"/>
          <w:szCs w:val="32"/>
        </w:rPr>
        <w:t xml:space="preserve"> </w:t>
      </w:r>
      <w:r>
        <w:rPr>
          <w:rFonts w:hint="eastAsia" w:ascii="方正仿宋简体" w:hAnsi="仿宋_GB2312" w:eastAsia="仿宋_GB2312"/>
          <w:sz w:val="32"/>
          <w:szCs w:val="32"/>
        </w:rPr>
        <w:t>鼓励、支持</w:t>
      </w:r>
      <w:r>
        <w:rPr>
          <w:rFonts w:hint="eastAsia" w:ascii="方正仿宋简体" w:eastAsia="仿宋_GB2312"/>
          <w:sz w:val="32"/>
          <w:szCs w:val="32"/>
        </w:rPr>
        <w:t>餐饮烹饪行业协会制定闽菜团体标准，促进行业发展。</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eastAsia="仿宋_GB2312"/>
          <w:sz w:val="32"/>
          <w:szCs w:val="32"/>
        </w:rPr>
      </w:pPr>
      <w:r>
        <w:rPr>
          <w:rFonts w:hint="eastAsia" w:ascii="黑体" w:eastAsia="黑体"/>
          <w:sz w:val="32"/>
          <w:szCs w:val="32"/>
        </w:rPr>
        <w:t>第十六条</w:t>
      </w:r>
      <w:r>
        <w:rPr>
          <w:rFonts w:hint="eastAsia" w:ascii="方正仿宋简体" w:hAnsi="仿宋_GB2312" w:eastAsia="仿宋_GB2312"/>
          <w:sz w:val="32"/>
          <w:szCs w:val="32"/>
        </w:rPr>
        <w:t xml:space="preserve"> 鼓励、</w:t>
      </w:r>
      <w:r>
        <w:rPr>
          <w:rFonts w:hint="eastAsia" w:ascii="方正仿宋简体" w:eastAsia="仿宋_GB2312"/>
          <w:sz w:val="32"/>
          <w:szCs w:val="32"/>
        </w:rPr>
        <w:t>支持教学、科研机构开展闽菜技艺文化理论研究和创新研发。</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eastAsia="仿宋_GB2312"/>
          <w:sz w:val="32"/>
          <w:szCs w:val="32"/>
        </w:rPr>
        <w:t>支持开设烹饪专业的院校开展闽菜技艺培训，鼓励闽</w:t>
      </w:r>
      <w:r>
        <w:rPr>
          <w:rFonts w:hint="eastAsia" w:ascii="方正仿宋简体" w:hAnsi="仿宋_GB2312" w:eastAsia="仿宋_GB2312"/>
          <w:sz w:val="32"/>
          <w:szCs w:val="32"/>
        </w:rPr>
        <w:t>菜技艺项目代表性传承人从在校生中择优带徒。</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第十七条</w:t>
      </w:r>
      <w:r>
        <w:rPr>
          <w:rFonts w:hint="eastAsia" w:ascii="方正仿宋简体" w:hAnsi="宋体" w:eastAsia="仿宋_GB2312"/>
          <w:sz w:val="32"/>
          <w:szCs w:val="32"/>
        </w:rPr>
        <w:t xml:space="preserve"> </w:t>
      </w:r>
      <w:r>
        <w:rPr>
          <w:rFonts w:hint="eastAsia" w:ascii="方正仿宋简体" w:hAnsi="仿宋_GB2312" w:eastAsia="仿宋_GB2312"/>
          <w:sz w:val="32"/>
          <w:szCs w:val="32"/>
        </w:rPr>
        <w:t>鼓励、</w:t>
      </w:r>
      <w:r>
        <w:rPr>
          <w:rFonts w:hint="eastAsia" w:ascii="方正仿宋简体" w:eastAsia="仿宋_GB2312"/>
          <w:sz w:val="32"/>
          <w:szCs w:val="32"/>
        </w:rPr>
        <w:t>支持餐饮企业开展闽菜品牌建设，发展连锁经营。对被认定为中华老字号、福建老字号或者福州老字号的闽菜餐饮企业给予奖励。</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第十八条</w:t>
      </w:r>
      <w:r>
        <w:rPr>
          <w:rFonts w:hint="eastAsia" w:ascii="方正仿宋简体" w:hAnsi="宋体" w:eastAsia="仿宋_GB2312"/>
          <w:sz w:val="32"/>
          <w:szCs w:val="32"/>
        </w:rPr>
        <w:t xml:space="preserve"> </w:t>
      </w:r>
      <w:r>
        <w:rPr>
          <w:rFonts w:hint="eastAsia" w:ascii="方正仿宋简体" w:hAnsi="仿宋_GB2312" w:eastAsia="仿宋_GB2312"/>
          <w:sz w:val="32"/>
          <w:szCs w:val="32"/>
        </w:rPr>
        <w:t>鼓励、支持利用闽菜技艺资源开发适应市场需求的菜肴（点心）新</w:t>
      </w:r>
      <w:r>
        <w:rPr>
          <w:rFonts w:hint="eastAsia" w:ascii="方正仿宋简体" w:eastAsia="仿宋_GB2312"/>
          <w:sz w:val="32"/>
          <w:szCs w:val="32"/>
        </w:rPr>
        <w:t>品，创新产业运作模式，</w:t>
      </w:r>
      <w:r>
        <w:rPr>
          <w:rFonts w:hint="eastAsia" w:ascii="方正仿宋简体" w:hAnsi="仿宋_GB2312" w:eastAsia="仿宋_GB2312"/>
          <w:sz w:val="32"/>
          <w:szCs w:val="32"/>
        </w:rPr>
        <w:t>创作与闽菜技艺文化有关的书籍、影视、戏曲等文艺作品。</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第十九条</w:t>
      </w:r>
      <w:r>
        <w:rPr>
          <w:rFonts w:hint="eastAsia" w:ascii="方正仿宋简体" w:hAnsi="宋体" w:eastAsia="仿宋_GB2312"/>
          <w:sz w:val="32"/>
          <w:szCs w:val="32"/>
        </w:rPr>
        <w:t xml:space="preserve"> </w:t>
      </w:r>
      <w:r>
        <w:rPr>
          <w:rFonts w:hint="eastAsia" w:ascii="方正仿宋简体" w:hAnsi="仿宋_GB2312" w:eastAsia="仿宋_GB2312"/>
          <w:sz w:val="32"/>
          <w:szCs w:val="32"/>
        </w:rPr>
        <w:t>闽菜技艺项目代</w:t>
      </w:r>
      <w:r>
        <w:rPr>
          <w:rFonts w:hint="eastAsia" w:ascii="方正仿宋简体" w:eastAsia="仿宋_GB2312"/>
          <w:sz w:val="32"/>
          <w:szCs w:val="32"/>
        </w:rPr>
        <w:t>表性传承人提供虚假材料骗取资格或者因犯罪被追究刑事责任的，由市商</w:t>
      </w:r>
      <w:r>
        <w:rPr>
          <w:rFonts w:hint="eastAsia" w:ascii="方正仿宋简体" w:hAnsi="仿宋_GB2312" w:eastAsia="仿宋_GB2312"/>
          <w:sz w:val="32"/>
          <w:szCs w:val="32"/>
        </w:rPr>
        <w:t>务行政主管部门报市人民政府批准取消其传承人资格。</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第二十条</w:t>
      </w:r>
      <w:r>
        <w:rPr>
          <w:rFonts w:hint="eastAsia" w:ascii="方正仿宋简体" w:hAnsi="宋体" w:eastAsia="仿宋_GB2312"/>
          <w:sz w:val="32"/>
          <w:szCs w:val="32"/>
        </w:rPr>
        <w:t xml:space="preserve"> </w:t>
      </w:r>
      <w:r>
        <w:rPr>
          <w:rFonts w:hint="eastAsia" w:ascii="方正仿宋简体" w:hAnsi="仿宋_GB2312" w:eastAsia="仿宋_GB2312"/>
          <w:sz w:val="32"/>
          <w:szCs w:val="32"/>
        </w:rPr>
        <w:t>闽菜</w:t>
      </w:r>
      <w:r>
        <w:rPr>
          <w:rFonts w:hint="eastAsia" w:ascii="方正仿宋简体" w:eastAsia="仿宋_GB2312"/>
          <w:sz w:val="32"/>
          <w:szCs w:val="32"/>
        </w:rPr>
        <w:t>技艺项目代表性传承人工作室有</w:t>
      </w:r>
      <w:r>
        <w:rPr>
          <w:rFonts w:hint="eastAsia" w:ascii="方正仿宋简体" w:hAnsi="仿宋_GB2312" w:eastAsia="仿宋_GB2312"/>
          <w:sz w:val="32"/>
          <w:szCs w:val="32"/>
        </w:rPr>
        <w:t>下列情形之一的，由市商务行政主管部门报市人民</w:t>
      </w:r>
      <w:r>
        <w:rPr>
          <w:rFonts w:hint="eastAsia" w:ascii="方正仿宋简体" w:eastAsia="仿宋_GB2312"/>
          <w:sz w:val="32"/>
          <w:szCs w:val="32"/>
        </w:rPr>
        <w:t>政府批准撤销工作</w:t>
      </w:r>
      <w:r>
        <w:rPr>
          <w:rFonts w:hint="eastAsia" w:ascii="方正仿宋简体" w:hAnsi="仿宋_GB2312" w:eastAsia="仿宋_GB2312"/>
          <w:sz w:val="32"/>
          <w:szCs w:val="32"/>
        </w:rPr>
        <w:t>室：</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（一）提供虚假材料申报工作室的；</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（二）代表性传承人被取消资格的；</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方正仿宋简体" w:hAnsi="仿宋_GB2312" w:eastAsia="仿宋_GB2312"/>
          <w:sz w:val="32"/>
          <w:szCs w:val="32"/>
        </w:rPr>
        <w:t>（三）考核不合格的。</w:t>
      </w:r>
    </w:p>
    <w:p>
      <w:pPr>
        <w:keepNext w:val="0"/>
        <w:keepLines w:val="0"/>
        <w:pageBreakBefore w:val="0"/>
        <w:widowControl w:val="0"/>
        <w:kinsoku/>
        <w:wordWrap/>
        <w:overflowPunct/>
        <w:topLinePunct w:val="0"/>
        <w:autoSpaceDE w:val="0"/>
        <w:autoSpaceDN w:val="0"/>
        <w:bidi w:val="0"/>
        <w:adjustRightInd/>
        <w:snapToGrid/>
        <w:spacing w:line="240" w:lineRule="auto"/>
        <w:ind w:left="0" w:leftChars="0" w:right="0" w:rightChars="0" w:firstLine="624" w:firstLineChars="200"/>
        <w:textAlignment w:val="auto"/>
        <w:outlineLvl w:val="9"/>
        <w:rPr>
          <w:rFonts w:hint="eastAsia" w:ascii="方正仿宋简体" w:hAnsi="仿宋_GB2312" w:eastAsia="仿宋_GB2312"/>
          <w:sz w:val="32"/>
          <w:szCs w:val="32"/>
        </w:rPr>
      </w:pPr>
      <w:r>
        <w:rPr>
          <w:rFonts w:hint="eastAsia" w:ascii="黑体" w:eastAsia="黑体"/>
          <w:sz w:val="32"/>
          <w:szCs w:val="32"/>
        </w:rPr>
        <w:t>第二十一条</w:t>
      </w:r>
      <w:r>
        <w:rPr>
          <w:rFonts w:hint="eastAsia" w:ascii="方正仿宋简体" w:hAnsi="宋体" w:eastAsia="仿宋_GB2312"/>
          <w:sz w:val="32"/>
          <w:szCs w:val="32"/>
        </w:rPr>
        <w:t xml:space="preserve"> </w:t>
      </w:r>
      <w:r>
        <w:rPr>
          <w:rFonts w:hint="eastAsia" w:ascii="方正仿宋简体" w:eastAsia="仿宋_GB2312"/>
          <w:sz w:val="32"/>
          <w:szCs w:val="32"/>
        </w:rPr>
        <w:t>有关行政主管部门工作人员玩忽职守、滥用职权、徇私舞弊的，依法给予处分；构成犯罪的，依法追究刑事责任。</w:t>
      </w:r>
    </w:p>
    <w:p>
      <w:pPr>
        <w:keepNext w:val="0"/>
        <w:keepLines w:val="0"/>
        <w:pageBreakBefore w:val="0"/>
        <w:widowControl w:val="0"/>
        <w:kinsoku/>
        <w:wordWrap/>
        <w:overflowPunct/>
        <w:topLinePunct w:val="0"/>
        <w:bidi w:val="0"/>
        <w:adjustRightInd/>
        <w:snapToGrid/>
        <w:spacing w:line="240" w:lineRule="auto"/>
        <w:ind w:left="0" w:leftChars="0" w:right="0" w:rightChars="0" w:firstLine="624" w:firstLineChars="200"/>
        <w:textAlignment w:val="auto"/>
        <w:outlineLvl w:val="9"/>
        <w:rPr>
          <w:rFonts w:hint="eastAsia"/>
          <w:sz w:val="32"/>
          <w:szCs w:val="32"/>
        </w:rPr>
      </w:pPr>
      <w:r>
        <w:rPr>
          <w:rFonts w:hint="eastAsia" w:ascii="黑体" w:eastAsia="黑体"/>
          <w:sz w:val="32"/>
          <w:szCs w:val="32"/>
        </w:rPr>
        <w:t>第二十二条</w:t>
      </w:r>
      <w:r>
        <w:rPr>
          <w:rFonts w:hint="eastAsia" w:ascii="方正仿宋简体" w:hAnsi="宋体" w:eastAsia="仿宋_GB2312"/>
          <w:sz w:val="32"/>
          <w:szCs w:val="32"/>
        </w:rPr>
        <w:t xml:space="preserve"> </w:t>
      </w:r>
      <w:r>
        <w:rPr>
          <w:rFonts w:hint="eastAsia" w:ascii="方正仿宋简体" w:eastAsia="仿宋_GB2312"/>
          <w:sz w:val="32"/>
          <w:szCs w:val="32"/>
        </w:rPr>
        <w:t>本规定自</w:t>
      </w:r>
      <w:r>
        <w:rPr>
          <w:rFonts w:hint="eastAsia" w:ascii="仿宋_GB2312" w:hAnsi="仿宋_GB2312" w:eastAsia="仿宋_GB2312" w:cs="仿宋_GB2312"/>
          <w:sz w:val="32"/>
          <w:szCs w:val="32"/>
        </w:rPr>
        <w:t>2018年2月1日起施行</w:t>
      </w:r>
      <w:r>
        <w:rPr>
          <w:rFonts w:hint="eastAsia" w:ascii="方正仿宋简体" w:hAnsi="仿宋_GB2312" w:eastAsia="仿宋_GB2312"/>
          <w:sz w:val="32"/>
          <w:szCs w:val="32"/>
        </w:rPr>
        <w:t>。</w:t>
      </w: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p>
    <w:p>
      <w:pPr>
        <w:keepNext w:val="0"/>
        <w:keepLines w:val="0"/>
        <w:pageBreakBefore w:val="0"/>
        <w:widowControl w:val="0"/>
        <w:kinsoku/>
        <w:wordWrap/>
        <w:overflowPunct/>
        <w:topLinePunct w:val="0"/>
        <w:bidi w:val="0"/>
        <w:adjustRightInd/>
        <w:snapToGrid/>
        <w:rPr>
          <w:rFonts w:ascii="Times New Roman" w:hAnsi="Times New Roman" w:eastAsia="黑体"/>
          <w:szCs w:val="32"/>
        </w:rPr>
      </w:pPr>
      <w:bookmarkStart w:id="0" w:name="_GoBack"/>
      <w:bookmarkEnd w:id="0"/>
    </w:p>
    <w:sectPr>
      <w:footerReference r:id="rId6" w:type="first"/>
      <w:headerReference r:id="rId3" w:type="default"/>
      <w:footerReference r:id="rId4" w:type="default"/>
      <w:footerReference r:id="rId5" w:type="even"/>
      <w:pgSz w:w="11906" w:h="16838"/>
      <w:pgMar w:top="2098" w:right="1474" w:bottom="1984" w:left="1587" w:header="851" w:footer="1701" w:gutter="0"/>
      <w:pgBorders>
        <w:top w:val="none" w:sz="0" w:space="0"/>
        <w:left w:val="none" w:sz="0" w:space="0"/>
        <w:bottom w:val="none" w:sz="0" w:space="0"/>
        <w:right w:val="none" w:sz="0" w:space="0"/>
      </w:pgBorders>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Lucida Sans Unicode"/>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ona Lisa Recut">
    <w:altName w:val="Onyx"/>
    <w:panose1 w:val="04050504080603030502"/>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Oxford">
    <w:altName w:val="Estrangelo Edessa"/>
    <w:panose1 w:val="03080702030302020503"/>
    <w:charset w:val="00"/>
    <w:family w:val="auto"/>
    <w:pitch w:val="default"/>
    <w:sig w:usb0="00000000" w:usb1="00000000" w:usb2="00000000" w:usb3="00000000" w:csb0="00000001" w:csb1="00000000"/>
  </w:font>
  <w:font w:name="Apple Chancery">
    <w:altName w:val="Courier New"/>
    <w:panose1 w:val="03020702040506060504"/>
    <w:charset w:val="00"/>
    <w:family w:val="auto"/>
    <w:pitch w:val="default"/>
    <w:sig w:usb0="00000000" w:usb1="00000000" w:usb2="00000000" w:usb3="00000000" w:csb0="00000093" w:csb1="00000000"/>
  </w:font>
  <w:font w:name="CoronetPS">
    <w:altName w:val="Mongolian Baiti"/>
    <w:panose1 w:val="03030502040406070605"/>
    <w:charset w:val="00"/>
    <w:family w:val="auto"/>
    <w:pitch w:val="default"/>
    <w:sig w:usb0="00000000" w:usb1="00000000" w:usb2="00000000" w:usb3="00000000" w:csb0="00000093" w:csb1="00000000"/>
  </w:font>
  <w:font w:name="Copperplate33bc">
    <w:altName w:val="Segoe Print"/>
    <w:panose1 w:val="020E0907020206020404"/>
    <w:charset w:val="00"/>
    <w:family w:val="auto"/>
    <w:pitch w:val="default"/>
    <w:sig w:usb0="00000000" w:usb1="00000000" w:usb2="00000000" w:usb3="00000000" w:csb0="00000001" w:csb1="00000000"/>
  </w:font>
  <w:font w:name="方正黑体_GBK">
    <w:altName w:val="Arial Unicode MS"/>
    <w:panose1 w:val="03000509000000000000"/>
    <w:charset w:val="86"/>
    <w:family w:val="script"/>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script"/>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SymbolPS">
    <w:altName w:val="Segoe Print"/>
    <w:panose1 w:val="05050102010607020607"/>
    <w:charset w:val="00"/>
    <w:family w:val="auto"/>
    <w:pitch w:val="default"/>
    <w:sig w:usb0="00000000" w:usb1="00000000" w:usb2="00000000" w:usb3="00000000" w:csb0="80000000" w:csb1="00000000"/>
  </w:font>
  <w:font w:name="Taffy">
    <w:altName w:val="Mongolian Baiti"/>
    <w:panose1 w:val="03050402030202030204"/>
    <w:charset w:val="00"/>
    <w:family w:val="auto"/>
    <w:pitch w:val="default"/>
    <w:sig w:usb0="00000000" w:usb1="00000000" w:usb2="00000000" w:usb3="00000000" w:csb0="00000001"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Arial Narrow"/>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Helvetica">
    <w:altName w:val="Arial"/>
    <w:panose1 w:val="020B0504020202030204"/>
    <w:charset w:val="00"/>
    <w:family w:val="swiss"/>
    <w:pitch w:val="default"/>
    <w:sig w:usb0="00000000" w:usb1="00000000" w:usb2="00000000" w:usb3="00000000" w:csb0="00000093" w:csb1="00000000"/>
  </w:font>
  <w:font w:name="方正华隶_GBK">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方正魏碑_GBK">
    <w:altName w:val="宋体"/>
    <w:panose1 w:val="03000509000000000000"/>
    <w:charset w:val="86"/>
    <w:family w:val="auto"/>
    <w:pitch w:val="default"/>
    <w:sig w:usb0="00000000" w:usb1="00000000" w:usb2="00000000" w:usb3="00000000" w:csb0="00040000"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C-KT">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粗活意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Antique Olive Roman">
    <w:altName w:val="Segoe Print"/>
    <w:panose1 w:val="020B06030202040302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Gill Sans Ultra Bold Condensed">
    <w:altName w:val="Segoe Print"/>
    <w:panose1 w:val="020B0A06020104020203"/>
    <w:charset w:val="00"/>
    <w:family w:val="swiss"/>
    <w:pitch w:val="default"/>
    <w:sig w:usb0="00000000" w:usb1="00000000" w:usb2="00000000" w:usb3="00000000" w:csb0="00000003" w:csb1="00000000"/>
  </w:font>
  <w:font w:name="EU-B7">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GillSans Condensed">
    <w:altName w:val="Segoe Print"/>
    <w:panose1 w:val="020B0506020204020204"/>
    <w:charset w:val="00"/>
    <w:family w:val="auto"/>
    <w:pitch w:val="default"/>
    <w:sig w:usb0="00000000" w:usb1="00000000" w:usb2="00000000" w:usb3="00000000" w:csb0="00000093"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宋一繁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GulimChe">
    <w:panose1 w:val="020B0609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StempelGaramond Roman">
    <w:altName w:val="PMingLiU-ExtB"/>
    <w:panose1 w:val="02020502050306020203"/>
    <w:charset w:val="00"/>
    <w:family w:val="auto"/>
    <w:pitch w:val="default"/>
    <w:sig w:usb0="00000000" w:usb1="00000000" w:usb2="00000000" w:usb3="00000000" w:csb0="00000093" w:csb1="00000000"/>
  </w:font>
  <w:font w:name="Eurostile Bold">
    <w:altName w:val="Segoe Print"/>
    <w:panose1 w:val="020B0804020202050204"/>
    <w:charset w:val="00"/>
    <w:family w:val="auto"/>
    <w:pitch w:val="default"/>
    <w:sig w:usb0="00000000" w:usb1="00000000" w:usb2="00000000" w:usb3="00000000" w:csb0="00000093" w:csb1="00000000"/>
  </w:font>
  <w:font w:name="Malgun Gothic">
    <w:panose1 w:val="020B0503020000020004"/>
    <w:charset w:val="81"/>
    <w:family w:val="auto"/>
    <w:pitch w:val="default"/>
    <w:sig w:usb0="900002AF" w:usb1="01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Onyx">
    <w:panose1 w:val="04050602080702020203"/>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1AF11CF"/>
    <w:rsid w:val="0A33122B"/>
    <w:rsid w:val="0A3B70D1"/>
    <w:rsid w:val="0B604621"/>
    <w:rsid w:val="0D96221C"/>
    <w:rsid w:val="0F2E6444"/>
    <w:rsid w:val="11621F6A"/>
    <w:rsid w:val="1399440B"/>
    <w:rsid w:val="148D75F0"/>
    <w:rsid w:val="14A47942"/>
    <w:rsid w:val="14DF1382"/>
    <w:rsid w:val="167D65B0"/>
    <w:rsid w:val="189B02D4"/>
    <w:rsid w:val="1D4A428C"/>
    <w:rsid w:val="1D991519"/>
    <w:rsid w:val="1DC86B96"/>
    <w:rsid w:val="1EA33493"/>
    <w:rsid w:val="1EF647F9"/>
    <w:rsid w:val="1FA80CBC"/>
    <w:rsid w:val="21DA4599"/>
    <w:rsid w:val="22943EEC"/>
    <w:rsid w:val="22C845C7"/>
    <w:rsid w:val="231979C8"/>
    <w:rsid w:val="23364216"/>
    <w:rsid w:val="250000F8"/>
    <w:rsid w:val="25101B5D"/>
    <w:rsid w:val="271E2FC5"/>
    <w:rsid w:val="277C3BEE"/>
    <w:rsid w:val="28666D85"/>
    <w:rsid w:val="2C5366A5"/>
    <w:rsid w:val="2CB814DF"/>
    <w:rsid w:val="2E355494"/>
    <w:rsid w:val="2E8D4CCB"/>
    <w:rsid w:val="2F6F4F28"/>
    <w:rsid w:val="2F8121E5"/>
    <w:rsid w:val="30C56371"/>
    <w:rsid w:val="30F5230D"/>
    <w:rsid w:val="33947524"/>
    <w:rsid w:val="3457682E"/>
    <w:rsid w:val="34E10791"/>
    <w:rsid w:val="35440ACF"/>
    <w:rsid w:val="38A15D65"/>
    <w:rsid w:val="3943662A"/>
    <w:rsid w:val="3BE85E9A"/>
    <w:rsid w:val="3C5104AC"/>
    <w:rsid w:val="3D602C1B"/>
    <w:rsid w:val="3DB0625D"/>
    <w:rsid w:val="3E4D07B7"/>
    <w:rsid w:val="3EFF67ED"/>
    <w:rsid w:val="40F67468"/>
    <w:rsid w:val="41612EF6"/>
    <w:rsid w:val="41EB4BCA"/>
    <w:rsid w:val="43011A6F"/>
    <w:rsid w:val="446F67EA"/>
    <w:rsid w:val="44C04794"/>
    <w:rsid w:val="4F03442F"/>
    <w:rsid w:val="50F07520"/>
    <w:rsid w:val="5191600B"/>
    <w:rsid w:val="53B9265D"/>
    <w:rsid w:val="5707419E"/>
    <w:rsid w:val="573363C8"/>
    <w:rsid w:val="5795079D"/>
    <w:rsid w:val="57984827"/>
    <w:rsid w:val="57CC6A78"/>
    <w:rsid w:val="589A16C9"/>
    <w:rsid w:val="590F3A2E"/>
    <w:rsid w:val="5AC46F39"/>
    <w:rsid w:val="5C2A09B2"/>
    <w:rsid w:val="5DF43F85"/>
    <w:rsid w:val="5E0C6A57"/>
    <w:rsid w:val="5E1371A6"/>
    <w:rsid w:val="5E8E3C2E"/>
    <w:rsid w:val="600A0DE5"/>
    <w:rsid w:val="60475909"/>
    <w:rsid w:val="631C49D3"/>
    <w:rsid w:val="63BE7F25"/>
    <w:rsid w:val="643E2042"/>
    <w:rsid w:val="64C13B7E"/>
    <w:rsid w:val="65BD79EA"/>
    <w:rsid w:val="66BA07D4"/>
    <w:rsid w:val="671F5E68"/>
    <w:rsid w:val="68702E66"/>
    <w:rsid w:val="69CC67F7"/>
    <w:rsid w:val="6B84609C"/>
    <w:rsid w:val="6CFB4E5D"/>
    <w:rsid w:val="6D8D0784"/>
    <w:rsid w:val="6FD87E3F"/>
    <w:rsid w:val="700C69D5"/>
    <w:rsid w:val="71903EC0"/>
    <w:rsid w:val="71DA51A1"/>
    <w:rsid w:val="7264686E"/>
    <w:rsid w:val="73526130"/>
    <w:rsid w:val="73902622"/>
    <w:rsid w:val="73935120"/>
    <w:rsid w:val="74590912"/>
    <w:rsid w:val="75CD0C1C"/>
    <w:rsid w:val="77374E6B"/>
    <w:rsid w:val="777375E5"/>
    <w:rsid w:val="78D47BF3"/>
    <w:rsid w:val="790166AC"/>
    <w:rsid w:val="7AB2498F"/>
    <w:rsid w:val="7BB67C3A"/>
    <w:rsid w:val="7C820955"/>
    <w:rsid w:val="7D8542FE"/>
    <w:rsid w:val="7DFB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6"/>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3"/>
    <w:unhideWhenUsed/>
    <w:qFormat/>
    <w:uiPriority w:val="0"/>
    <w:pPr>
      <w:keepNext/>
      <w:keepLines/>
      <w:spacing w:beforeLines="100" w:afterLines="100"/>
      <w:jc w:val="center"/>
      <w:outlineLvl w:val="2"/>
    </w:pPr>
    <w:rPr>
      <w:rFonts w:eastAsia="黑体"/>
    </w:rPr>
  </w:style>
  <w:style w:type="character" w:default="1" w:styleId="7">
    <w:name w:val="Default Paragraph Font"/>
    <w:link w:val="8"/>
    <w:unhideWhenUsed/>
    <w:qFormat/>
    <w:uiPriority w:val="1"/>
    <w:rPr>
      <w:szCs w:val="20"/>
    </w:rPr>
  </w:style>
  <w:style w:type="table" w:default="1" w:styleId="10">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rFonts w:ascii="宋体" w:hAnsi="宋体"/>
      <w:sz w:val="28"/>
    </w:rPr>
  </w:style>
  <w:style w:type="paragraph" w:styleId="6">
    <w:name w:val="header"/>
    <w:basedOn w:val="1"/>
    <w:link w:val="12"/>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 Char"/>
    <w:basedOn w:val="1"/>
    <w:link w:val="7"/>
    <w:qFormat/>
    <w:uiPriority w:val="0"/>
    <w:rPr>
      <w:szCs w:val="20"/>
    </w:rPr>
  </w:style>
  <w:style w:type="character" w:styleId="9">
    <w:name w:val="page number"/>
    <w:basedOn w:val="7"/>
    <w:qFormat/>
    <w:uiPriority w:val="0"/>
  </w:style>
  <w:style w:type="table" w:styleId="11">
    <w:name w:val="Table Grid"/>
    <w:basedOn w:val="10"/>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页眉 Char"/>
    <w:basedOn w:val="7"/>
    <w:link w:val="6"/>
    <w:qFormat/>
    <w:uiPriority w:val="0"/>
    <w:rPr>
      <w:sz w:val="18"/>
      <w:szCs w:val="18"/>
    </w:rPr>
  </w:style>
  <w:style w:type="character" w:customStyle="1" w:styleId="13">
    <w:name w:val="标题 3 Char"/>
    <w:link w:val="4"/>
    <w:qFormat/>
    <w:uiPriority w:val="0"/>
    <w:rPr>
      <w:rFonts w:eastAsia="黑体"/>
    </w:rPr>
  </w:style>
  <w:style w:type="character" w:customStyle="1" w:styleId="14">
    <w:name w:val="页脚 Char"/>
    <w:basedOn w:val="7"/>
    <w:link w:val="5"/>
    <w:qFormat/>
    <w:uiPriority w:val="0"/>
    <w:rPr>
      <w:sz w:val="18"/>
      <w:szCs w:val="18"/>
    </w:rPr>
  </w:style>
  <w:style w:type="paragraph" w:customStyle="1" w:styleId="15">
    <w:name w:val="p0"/>
    <w:basedOn w:val="1"/>
    <w:qFormat/>
    <w:uiPriority w:val="0"/>
    <w:pPr>
      <w:widowControl/>
    </w:pPr>
    <w:rPr>
      <w:kern w:val="0"/>
    </w:rPr>
  </w:style>
  <w:style w:type="character" w:customStyle="1" w:styleId="16">
    <w:name w:val="标题 2 Char"/>
    <w:basedOn w:val="7"/>
    <w:link w:val="3"/>
    <w:qFormat/>
    <w:uiPriority w:val="0"/>
    <w:rPr>
      <w:rFonts w:ascii="Arial" w:hAnsi="Arial" w:eastAsia="楷体"/>
    </w:rPr>
  </w:style>
  <w:style w:type="paragraph" w:customStyle="1" w:styleId="17">
    <w:name w:val="p17"/>
    <w:basedOn w:val="1"/>
    <w:qFormat/>
    <w:uiPriority w:val="0"/>
    <w:pPr>
      <w:widowControl/>
      <w:spacing w:line="240" w:lineRule="auto"/>
    </w:pPr>
    <w:rPr>
      <w:rFonts w:eastAsia="方正仿宋简体"/>
      <w:spacing w:val="0"/>
      <w:kern w:val="0"/>
      <w:sz w:val="30"/>
      <w:szCs w:val="30"/>
    </w:rPr>
  </w:style>
  <w:style w:type="paragraph" w:customStyle="1" w:styleId="18">
    <w:name w:val="p16"/>
    <w:basedOn w:val="1"/>
    <w:qFormat/>
    <w:uiPriority w:val="0"/>
    <w:pPr>
      <w:widowControl/>
    </w:pPr>
    <w:rPr>
      <w:kern w:val="0"/>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2017-12-12T02:34:00Z</cp:lastPrinted>
  <dcterms:modified xsi:type="dcterms:W3CDTF">2017-12-14T01:10:32Z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