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Style w:val="10"/>
          <w:rFonts w:hint="eastAsia" w:ascii="仿宋_GB2312" w:hAnsi="仿宋_GB2312" w:eastAsia="仿宋_GB2312"/>
          <w:b w:val="0"/>
          <w:sz w:val="32"/>
        </w:rPr>
      </w:pPr>
      <w:bookmarkStart w:id="0" w:name="_GoBack"/>
    </w:p>
    <w:p>
      <w:pPr>
        <w:spacing w:line="560" w:lineRule="exact"/>
        <w:rPr>
          <w:rStyle w:val="10"/>
          <w:rFonts w:hint="eastAsia" w:ascii="仿宋_GB2312" w:hAnsi="仿宋_GB2312" w:eastAsia="仿宋_GB2312"/>
          <w:b w:val="0"/>
          <w:sz w:val="32"/>
        </w:rPr>
      </w:pPr>
    </w:p>
    <w:bookmarkEnd w:id="0"/>
    <w:p>
      <w:pPr>
        <w:spacing w:line="560" w:lineRule="exact"/>
        <w:ind w:left="0" w:leftChars="0" w:right="0" w:firstLine="0" w:firstLineChars="0"/>
        <w:jc w:val="center"/>
        <w:rPr>
          <w:rFonts w:hint="eastAsia" w:ascii="仿宋_GB2312" w:hAnsi="仿宋_GB2312" w:eastAsia="仿宋_GB2312"/>
          <w:sz w:val="32"/>
        </w:rPr>
      </w:pPr>
      <w:r>
        <w:rPr>
          <w:rFonts w:hint="eastAsia" w:ascii="宋体" w:hAnsi="宋体" w:eastAsia="宋体"/>
          <w:kern w:val="2"/>
          <w:sz w:val="44"/>
          <w:lang w:val="en-US" w:eastAsia="zh-CN"/>
        </w:rPr>
        <w:t>福州市食用农产品质量安全管理办法</w:t>
      </w:r>
    </w:p>
    <w:p>
      <w:pPr>
        <w:pStyle w:val="3"/>
        <w:rPr>
          <w:rFonts w:hint="eastAsia"/>
          <w:spacing w:val="-6"/>
        </w:rPr>
      </w:pPr>
      <w:r>
        <w:rPr>
          <w:rFonts w:hint="eastAsia"/>
          <w:spacing w:val="-6"/>
          <w:lang w:val="en-US" w:eastAsia="zh-CN"/>
        </w:rPr>
        <w:t>（2003年2月20日福州市第十二届人民代表大会常务委员会第一次会议通过  2003年5月28日福建省第十届人民代表大会常务委员会第三次会议批准  根据2006年12月6日福州市第十二届人民代表大会常务委员会第三十七次会议《关于修改〈福州市食用农产品质量安全管理办法〉的决定》修正  2007年3月28日福建省第十届人民代表大会常务委员会第二十八次会议批准）</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为了提高食用农产品质量，保障人体健康和生命安全，促进农业经济可持续发展，根据有关法律、法规，结合本市实际，制定本办法。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本办法所称的食用农产品是指种植、养殖、捕捞、采集而形成的，未经加工或者经初级加工的，供人类食用的产品。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本办法所称的质量安全是指食用农产品的质量必须符合保障人体健康和生命安全的要求。</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在本市行政区域范围内从事食用农产品生产、加工、经营的单位和个人必须遵守本办法。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市、县(市、区)人民政府统一领导、协调本行政区域内食用农产品质量安全管理工作。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市、县(市、区)农业、渔业行政主管部门负责食用农产品质量安全的监督管理工作。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农业、渔业、林业、质量技术监督、贸易、卫生、工商和环境保护等行政主管部门按照下列分工承担食用农产品质量安全管理职责：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(一)农业、渔业、林业行政主管部门负责食用农产品种植、养殖、捕捞、采集生产过程的农药、兽药、肥料、饲料和饲料添加剂等农业投入品使用的监管以及动植物农产品检验检疫的监管；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(二)质量技术监督行政主管部门负责对列入食品质量安全市场准入的农产品进行抽查、监管，协助农业、渔业行政主管部门组织实施食用农产品质量安全的国家标准、行业标准和地方标准；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(三)贸易行政主管部门负责食用农产品流通领域和食用动物产品屠宰加工的行业指导和管理；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(四)卫生行政主管部门按照食用农产品卫生标准，审核发放食用农产品加工经营企业卫生许可证，对市场上销售的食用农产品卫生安全进行抽查、监管；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(五)工商行政主管部门负责对食用农产品批发市场、农产品销售企业销售不符合质量安全标准的农产品的违法行为进行查处；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(六)环境保护行政主管部门负责对影响食用农产品质量安全的生产环境及污染源等进行监督管理。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食用农产品行业协会应当协助政府相关部门实施食用农产品质量安全的监督管理。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食用农产品行业协会依法制定并推广食用农产品质量安全的行业规范，收集、研究、提供国际国内食用农产品技术规范和技术标准的有关信息，引导生产者采用国际标准和国内外先进标准生产符合国际国内市场需求的食用农产品，增强本市食用农产品在国际国内市场的竞争力。</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市、县(市、区)人民政府应当对辖区内食用农产品生产基地建设进行统一规划。建设基地应当按法定程序报有关行政主管部门批准，并符合无公害产地环境标准的要求。</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市、县(市、区)人民政府应当根据本行政区域的自然条件、土地利用规划和食用农产品的生长特点，建立具有一定规模的无公害、绿色、有机食用农产品生产示范基地，并对基地生产环境予以保护。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本市建立食用农产品质量安全标准化管理体系，实施强制性国家标准、行业标准和地方标准。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没有国家标准、行业标准和地方标准的食用农产品，农业、渔业行政主管部门可以会同市质量技术监督行政主管部门拟定符合国际国内市场要求的食用农产品质量安全地方标准，报省质量技术监督行政主管部门批准后组织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3"/>
          <w:sz w:val="32"/>
        </w:rPr>
        <w:t>市质量技术监督行政主管部门会同有关部门可以制定食用农产品种植、养殖的生产技术规范和产地环境安全标准，并组织实施。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w:t>
      </w:r>
      <w:r>
        <w:rPr>
          <w:rFonts w:hint="eastAsia" w:ascii="黑体" w:hAnsi="黑体" w:eastAsia="黑体"/>
          <w:sz w:val="32"/>
        </w:rPr>
        <w:t>条</w:t>
      </w:r>
      <w:r>
        <w:rPr>
          <w:rFonts w:hint="eastAsia" w:ascii="仿宋_GB2312" w:hAnsi="仿宋_GB2312" w:eastAsia="仿宋_GB2312"/>
          <w:sz w:val="32"/>
        </w:rPr>
        <w:t>  食用农产品生产基地、大中型食用农产品加工企业应当执行食用农产品质量安全标准，配有相应的专业技术人员、检测人员和设备，建立完整的生产和销售的质量安全记录档案，对生产全过程实行跟踪监测。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食用农产品生产过程应当使用高效、低毒、低残留农药(包括化学除草剂)。使用农药应当符合安全间隔期等农药使用规范。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禁止超剂量、超范围使用农药。不得销售、使用违禁的剧毒、高毒、高残留的农药。</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禁止销售、使用和限制使用的农药目录由农业行政主管部门向社会公告，并加强监督管理。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食用农产品生产过程中不得超量施用化肥。农业生产用水和用作肥料的固体废物，应当符合国家规定的标准。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禁止施用城市垃圾。禁止在有毒有害物质超过规定标准的区域生产、捕捞、采集食用农产品和建立农产品生产基地。禁止使用不符合国家规定标准的水源生产和处理食用农产品。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食用动物饲养场应当对粪便、废水和其他废弃物进行综合利用或者无害化处理，达到国家或者地方规定标准后，方可排放。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食用农产品生产过程不得使用违禁的抗生素类药物及有害激素等。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食用动物饲养过程禁止使用盐酸克伦特罗(瘦肉精)等危害人体健康的化合物、饲料和饲料添加剂。</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水产品养殖生产过程应当使用检疫合格的苗种，禁止使用含有毒、有害化合物的饲料和国家或者地方明令禁止使用的鱼药、激素、饲料添加剂等。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水产品养殖应按环境、水质条件划分养殖区、条件养殖区和禁止养殖区。渔业行政主管部门应当定期监测养殖水域的渔业环境，对不符合渔业养殖标准的水域应当禁止继续养殖。</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食用农产品在加工、储运及上市流通中使用的保鲜剂、防腐剂、添加剂等材料必须符合国家卫生标准，并在产品说明书上明确标明相关内容。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禁止在食用农产品中使用有害人体健康的保鲜剂、防腐剂、添加剂等材料。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xml:space="preserve">  </w:t>
      </w:r>
      <w:r>
        <w:rPr>
          <w:rFonts w:hint="eastAsia" w:ascii="仿宋_GB2312" w:hAnsi="仿宋_GB2312" w:eastAsia="仿宋_GB2312"/>
          <w:spacing w:val="-3"/>
          <w:sz w:val="32"/>
        </w:rPr>
        <w:t>食用农产品应当在符合卫生、环保条件的固定场所加工，加工所用设备及产品包装材料必须符合食品卫生安全标准。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食用农产品上市流通实行质量安全监测制度。经检测合格的食用农产品方可进入市场销售。具体实施办法由市人民政府制定。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经营无公害、绿色、有机食用农产品的单位和个人，应当在经营场所标明产品标志和产品认证证书等相关内容。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禁止伪造或者冒用无公害、绿色、有机食用农产品的产品标志和产品认证证书。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食用农产品上市流通实行经营场所开办者质量安全责任制度。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农产品批发市场、农贸市场和经营食用农产品的大中型超市等农产品经营场所开办者对进入本场所经营的食用农产品质量安全负有管理责任，应当配备专、兼职质量安全管理人员，建立食用农产品质量安全档案。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开办者应当依法与进入本场所的经营者签订食用农产品质量安全合同，建立食用农产品经营者质量安全信用管理制度，对经营者的失信行为进行登记、公示，引导经营者合法诚信经营。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农业、渔业行政主管部门和质量技术监督、工商、贸易、卫生等行政主管部门应当加强食用农产品质量安全检测网络建设，完善对食用农产品质量安全的监督检测。扶持建立从事食用农产品质量安全检测的社会中介服务机构，鼓励其在生产经营重要环节设立食用农产品安全卫生质量检测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农业、渔业行政主管部门可以委托检测机构定期对食用农产品生产基地、批发市场、农贸市场、大中型超市、加工企业等食用农产品质量安全进行抽查检测，并向社会公布检测结果。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农产品批发市场、农产品销售企业应当设立或者委托食用农产品质量安全检测机构，对进场销售的食用农产品质量安全状况进行抽查检测。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食用农产品质量安全检测检疫人员应当具有相应的专业技术和资格条件。有关行政管理部门应当加强检测检疫人员的培训、考核和管理。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检测检疫人员应当按照技术规范进行检测检疫，并对检测检疫结果负责。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违反本办法第六条第一款的规定，食用农产品生产基地建设不符合无公害产地环境标准的，由批准设立基地的行政主管部门责令限期改正，逾期不改正或者改正后仍不符合标准的，责令停止生产。</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违反本办法第八条的规定，由农业、渔业、质量技术监督行政主管部门依据职责分工，责令食用农产品生产基地、大中型食用农产品加工企业限期改正；逾期不改正的，处以五千元以上一万元以下罚款，农业、渔业行政主管部门可以提请批准设立基地的行政主管部门取消其继续开办基地资格。</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sz w:val="32"/>
        </w:rPr>
        <w:t>  违反本办法第九条第二款、第十条第二款规定的，由农业、渔业行政主管部门处以一千元以上一万元以下罚款；构成犯罪的，依法追究刑事责任。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sz w:val="32"/>
        </w:rPr>
        <w:t>  违反本办法第十八条第二款的规定，农产品经营场所开办者未按要求承担农产品质量安全管理责任的，由工商行政管理部门责令限期改正，逾期不改正的，处以五千元以上一万元以下罚款。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第二十五条</w:t>
      </w:r>
      <w:r>
        <w:rPr>
          <w:rFonts w:hint="eastAsia" w:ascii="仿宋_GB2312" w:hAnsi="仿宋_GB2312" w:eastAsia="仿宋_GB2312"/>
          <w:sz w:val="32"/>
        </w:rPr>
        <w:t xml:space="preserve">  </w:t>
      </w:r>
      <w:r>
        <w:rPr>
          <w:rFonts w:hint="eastAsia" w:ascii="仿宋_GB2312" w:hAnsi="仿宋_GB2312" w:eastAsia="仿宋_GB2312"/>
          <w:spacing w:val="-3"/>
          <w:sz w:val="32"/>
        </w:rPr>
        <w:t>违反本办法第十一条至第十五条、第十七条的规定，由农业、渔业、林业、环境保护、卫生、质量技术监督、工商等行政主管部门依据职责分工，按照相关法律、法规予以处罚。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第二十六条</w:t>
      </w:r>
      <w:r>
        <w:rPr>
          <w:rFonts w:hint="eastAsia" w:ascii="仿宋_GB2312" w:hAnsi="仿宋_GB2312" w:eastAsia="仿宋_GB2312"/>
          <w:sz w:val="32"/>
        </w:rPr>
        <w:t>  食用农产品质量安全行政管理部门在执法检查中发现生产、加工、经营的食用农产品不符合质量安全标准的，应当依据职责分工，责令生产、加工或者经营者限期进行无害化处理，无法处理或者逾期未作无害化处理的，予以没收销毁，所需费用由责任者承担。</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第二十七条</w:t>
      </w:r>
      <w:r>
        <w:rPr>
          <w:rFonts w:hint="eastAsia" w:ascii="仿宋_GB2312" w:hAnsi="仿宋_GB2312" w:eastAsia="仿宋_GB2312"/>
          <w:sz w:val="32"/>
        </w:rPr>
        <w:t>  有关行政管理部门的工作人员在对食用农产品质量安全管理中，滥用职权、徇私舞弊、玩忽职守的，由相关主管部门给予行政处分；构成犯罪的，依法追究刑事责任。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第二十八条</w:t>
      </w:r>
      <w:r>
        <w:rPr>
          <w:rFonts w:hint="eastAsia" w:ascii="仿宋_GB2312" w:hAnsi="仿宋_GB2312" w:eastAsia="仿宋_GB2312"/>
          <w:sz w:val="32"/>
        </w:rPr>
        <w:t>  本办法自2003年9月1日起施行。</w:t>
      </w:r>
    </w:p>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kern w:val="0"/>
          <w:sz w:val="32"/>
        </w:rPr>
      </w:pPr>
    </w:p>
    <w:p>
      <w:pPr>
        <w:spacing w:line="560" w:lineRule="exact"/>
        <w:ind w:firstLine="640" w:firstLineChars="200"/>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altName w:val="Eras Light ITC"/>
    <w:panose1 w:val="020004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00022FF" w:usb1="C000205B" w:usb2="00000009" w:usb3="00000000" w:csb0="200001DF" w:csb1="2008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3D32B24"/>
    <w:rsid w:val="14704D28"/>
    <w:rsid w:val="14DF1382"/>
    <w:rsid w:val="1EA33493"/>
    <w:rsid w:val="23364216"/>
    <w:rsid w:val="23DB78BE"/>
    <w:rsid w:val="271E2FC5"/>
    <w:rsid w:val="273E4908"/>
    <w:rsid w:val="2B163808"/>
    <w:rsid w:val="2B7518D8"/>
    <w:rsid w:val="307F3204"/>
    <w:rsid w:val="35FF24AD"/>
    <w:rsid w:val="387244C2"/>
    <w:rsid w:val="3B376E18"/>
    <w:rsid w:val="3BE85E9A"/>
    <w:rsid w:val="465A1F42"/>
    <w:rsid w:val="4AD92A82"/>
    <w:rsid w:val="533D7A46"/>
    <w:rsid w:val="53790912"/>
    <w:rsid w:val="667D2408"/>
    <w:rsid w:val="6808010B"/>
    <w:rsid w:val="6FEE6A74"/>
    <w:rsid w:val="70FC57B5"/>
    <w:rsid w:val="744A5E51"/>
    <w:rsid w:val="75412F36"/>
    <w:rsid w:val="7778523F"/>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2017-02-14T08:18:11Z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