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福建省公路路政管理条例</w:t>
      </w:r>
    </w:p>
    <w:p>
      <w:pPr>
        <w:pStyle w:val="3"/>
        <w:rPr>
          <w:rFonts w:hint="eastAsia"/>
        </w:rPr>
      </w:pPr>
      <w:r>
        <w:rPr>
          <w:rFonts w:hint="eastAsia"/>
        </w:rPr>
        <w:t>（</w:t>
      </w:r>
      <w:r>
        <w:rPr>
          <w:rFonts w:hint="eastAsia" w:ascii="楷体_GB2312" w:hAnsi="楷体_GB2312" w:eastAsia="楷体_GB2312" w:cs="楷体_GB2312"/>
        </w:rPr>
        <w:t>2001</w:t>
      </w:r>
      <w:r>
        <w:rPr>
          <w:rFonts w:hint="eastAsia"/>
        </w:rPr>
        <w:t>年</w:t>
      </w:r>
      <w:r>
        <w:rPr>
          <w:rFonts w:hint="eastAsia" w:ascii="楷体_GB2312" w:hAnsi="楷体_GB2312" w:eastAsia="楷体_GB2312" w:cs="楷体_GB2312"/>
        </w:rPr>
        <w:t>5月30</w:t>
      </w:r>
      <w:r>
        <w:rPr>
          <w:rFonts w:hint="eastAsia"/>
        </w:rPr>
        <w:t>日福建省第九届人民代表大会常务委员会第二十六次会议通过）</w:t>
      </w:r>
    </w:p>
    <w:p>
      <w:pPr>
        <w:pStyle w:val="4"/>
        <w:rPr>
          <w:rFonts w:hint="eastAsia" w:ascii="仿宋_GB2312" w:hAnsi="仿宋_GB2312" w:eastAsia="仿宋_GB2312" w:cs="仿宋_GB2312"/>
          <w:szCs w:val="32"/>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为加强公路路政管理，保障公路完好、安全、畅通，根据《中华人民共和国公路法》及有关法律、法规的规定，结合本省实际，制定本条例。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本省行政区域内的国道、省道、县道、乡道的路政管理适用本条例。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公路路产受国家保护，任何单位和个人都有爱护、保护公路路产的义务，不得破坏、损坏或者非法占用，不得在公路两侧建筑控制区内违法修建建筑物和地面构筑物。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省人民政府交通主管部门负责全省公路路政管理工作；县级以上人民政府交通主管部门负责本行政区域内的公路路管理工作，但其对国道、省道的路政管理、监督职责，由省人民政府确定。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县级以上人民政府交通主管部门可以决定由公路路政管理机构依照本条例规定行使公路路政管理职责。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各级人民政府应当加强对公路路政管理工作的领导。各级公安、林业、土地、建设、规划、工商、价格等行政主管部门应当按各自职责，积极配合交通主管部门做好公路路政管理工作。</w:t>
      </w:r>
    </w:p>
    <w:p>
      <w:pPr>
        <w:pStyle w:val="4"/>
        <w:rPr>
          <w:rFonts w:hint="eastAsia"/>
        </w:rPr>
      </w:pPr>
      <w:r>
        <w:rPr>
          <w:rFonts w:hint="eastAsia"/>
        </w:rPr>
        <w:t>第二章</w:t>
      </w:r>
      <w:r>
        <w:rPr>
          <w:rFonts w:hint="eastAsia"/>
          <w:lang w:val="en-US" w:eastAsia="zh-CN"/>
        </w:rPr>
        <w:t xml:space="preserve">  </w:t>
      </w:r>
      <w:r>
        <w:rPr>
          <w:rFonts w:hint="eastAsia"/>
        </w:rPr>
        <w:t>公路路产管理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原有公路改变使用性质的，由有关单位申请，国道按国家规定，经省人民政府审定，报国务院或者原公路规划编制机关批准；省道经省人民政府交通主管部门会同有关部门审定，报省人民政府批准；县道经设区的市人民政府交通主管部门会同有关部门审定，报同级人民政府批准；乡道经县级人民政府交通主管部门会同有关部门审定，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公路划定为城市道路的，依照国家有关规定实施城市道路的路政管理。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任何单位或者个人不得损坏公路路产。凡损坏公路路产的，应当恢复原状或者按照损坏程度给予补偿。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公路路产损坏的补偿标准，由省人民政府交通主管部门会同财政、价格、建设主管部门制定。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在下列范围内，不得进行挖砂、采石、取土、倾倒废弃物、实施爆破作业等活动：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（一）大中型公路桥梁和渡口周围二百米；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（二）小型公路桥梁周围一百米；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（三）公路隧道上方和洞口外一百米；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（四）公路两侧危及公路安全的距离。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在公路上行驶的车辆，其轴载质量应当符合公路工程技术标准要求。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经省人民政府批准，交通主管部门可以在重要路段设置车辆轴载自动检测装置。设置检测装置不得收取检测费用，不得妨碍公路畅通。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交通主管部门应当根据管理权限按照国家规定的标准在公路沿线设置公路标示、标线；对经鉴定达不到设计荷载的公路、公路桥梁等，应当设置明显的限荷载等标志；对损坏的公路、公路桥梁、隧道、公路标志及交通安全设施，应当及时修复；妨碍车辆安全通行的，在修复前应当设置明显的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仿宋_GB2312" w:cs="仿宋_GB2312"/>
          <w:spacing w:val="-5"/>
          <w:sz w:val="32"/>
          <w:szCs w:val="32"/>
        </w:rPr>
        <w:t>公路建设、养护应当按照工程设计的指定地点倾倒土石等杂物。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在公路、公路用地范围内进行施工作业的，应当在施工现场两端设置规范的施工标志，采取有效的安全措施，保证车辆安全通行。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通过施工现场的车辆不遵守施工现场交通秩序，造成施工路面和设施损坏的，应当恢复原状，或者承担修复费用。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公安机关交通管理部门在处理车辆违章或者交通事故时，对涉及公路路产损坏的，应当及时通知交通主管部门协同处理。</w:t>
      </w:r>
    </w:p>
    <w:p>
      <w:pPr>
        <w:pStyle w:val="4"/>
        <w:rPr>
          <w:rFonts w:hint="eastAsia"/>
        </w:rPr>
      </w:pPr>
      <w:r>
        <w:rPr>
          <w:rFonts w:hint="eastAsia"/>
        </w:rPr>
        <w:t>第三章</w:t>
      </w:r>
      <w:r>
        <w:rPr>
          <w:rFonts w:hint="eastAsia"/>
          <w:lang w:val="en-US" w:eastAsia="zh-CN"/>
        </w:rPr>
        <w:t xml:space="preserve">  </w:t>
      </w:r>
      <w:r>
        <w:rPr>
          <w:rFonts w:hint="eastAsia"/>
        </w:rPr>
        <w:t>公路两侧建筑控制区管理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公路两侧建筑控制区是指公路两侧边沟、高速公路两侧隔离栏外缘以外，国道不少于二十米、省道不少于十五米、县道不少于十米、乡道不少于五米、高速公路不少于三十米、互通立交不少于一百米的区域。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新建、改建的公路两侧建筑控制区自公路规划批准之日起十个工作日内，由规划内的公路沿线县级以上人民政府依照前款规定划定并予公告。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原穿越城镇的公路路段两侧建筑控制区，由县级以上人民政府交通主管部门会同同级规划部门，依据《中华人民共和国公路法》和《中华人民共和国城市规划法》确定，经同级人民政府批准后，予以公告。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规划和新建村镇、开发区，应当在公路两侧建筑控制区外，禁止在公路两侧对应布局建设，防止公路街道化，影响公路畅通和交通安全。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除公路防护、养护需要外，禁止在公路两侧建筑控制区内修建建筑物和地面构筑物。需要在建筑控制区内埋设管线、电缆等设施，以及修建公路服务设施的，应当事先经县级以上人民政府交通主管部门批准。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在公路两侧建筑控制区划定前建成的建筑物和地面构筑物，以及依法设置的公路服务设施，不得改建、扩建。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因公路建设需要拆迁前款规定的建筑物、构筑物和设施的，应当依法对被拆迁人予以安置或者补偿。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高速公路服务设施的规划、建设，应当与高速公路的规划、建设同步进行。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在公路两侧建筑控制区内设置广告牌，必须征得县级以上人民政府交通主管部门同意，并向有关部门办理法定手续。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在公路及公路两侧建筑控制区内种植树木、设置广告牌和横跨公路的管线等设施，不得遮挡灯光信号、交通标志，不得影响安全视距。</w:t>
      </w:r>
    </w:p>
    <w:p>
      <w:pPr>
        <w:pStyle w:val="4"/>
        <w:rPr>
          <w:rFonts w:hint="eastAsia"/>
        </w:rPr>
      </w:pPr>
      <w:r>
        <w:rPr>
          <w:rFonts w:hint="eastAsia"/>
        </w:rPr>
        <w:t>第四章</w:t>
      </w:r>
      <w:r>
        <w:rPr>
          <w:rFonts w:hint="eastAsia"/>
          <w:lang w:val="en-US" w:eastAsia="zh-CN"/>
        </w:rPr>
        <w:t xml:space="preserve">  </w:t>
      </w:r>
      <w:r>
        <w:rPr>
          <w:rFonts w:hint="eastAsia"/>
        </w:rPr>
        <w:t>公路路容路貌管理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国道、省道、县道两侧已征用土地的绿化工作由县级以上人民政府交通主管部门负责规划，经同级人民政府批准后实施。</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不得任意砍伐、采摘、践踏公路绿化带的树木、花草。</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国道、省道、县道两侧建筑控制区内依法设置的广告牌、路名牌、地名牌等设施，应当规范、整洁、完好。</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任何单位和个人都有维护公路路面整洁的义务，不得向公路抛撒、排放杂物或者污水。来往车辆应当采取防护措施，防止抛撒滴漏。污染公路的，应当及时清理或者承担清理费用。</w:t>
      </w:r>
    </w:p>
    <w:p>
      <w:pPr>
        <w:pStyle w:val="4"/>
        <w:rPr>
          <w:rFonts w:hint="eastAsia"/>
        </w:rPr>
      </w:pPr>
      <w:r>
        <w:rPr>
          <w:rFonts w:hint="eastAsia"/>
        </w:rPr>
        <w:t>第五章</w:t>
      </w:r>
      <w:r>
        <w:rPr>
          <w:rFonts w:hint="eastAsia"/>
          <w:lang w:val="en-US" w:eastAsia="zh-CN"/>
        </w:rPr>
        <w:t xml:space="preserve">  </w:t>
      </w:r>
      <w:r>
        <w:rPr>
          <w:rFonts w:hint="eastAsia"/>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县级以上人民政府交通主管部门依法对公路路政情况进行监督检查。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公路监督检查人员执行公务时，不得影响车辆正常通行，并应当着装整齐，佩戴标志，持证上岗。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路监督检查人员对各种侵占、损坏公路路产以及在公路两侧建筑控制区内违法修建建筑物和地面构筑物的行为，应当责令当事人立即停止违法行为；对不改正的，可暂扣施工作业的工具；情节严重的，经县级以上人民政府交通主管部门批准，可对违法堆放的物品和违法修建的建筑物、构筑物等采取必要的清理、拆除措施，由此发生的费用由违法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损坏公路路产拒不接受处理而驾车逃逸的，交通主管部门可以会同公安机关或者单独进行拦截，并责令其车辆停放在指定地点接受调查、处理后方得驶离，由此发生的费用由违法当事人承担。情节严重的，可以暂扣由交通主管部门发放的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被依法暂扣物品、证件的当事人，应当在十个工作日内到交通主管部门接受处理。对当事人前来接受处理的，交通主管部门必须在二十四小时内作出处理决定；对逾期一个月仍不前来接受处理的，交通主管部门有权对暂扣物品依法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交通主管部门暂扣物品、证件，必须向当事人出具统一的暂扣凭证，在当事人接受处理后，必须立即将暂扣的物品、证件归还；因保管不善给当事人造成损失的，应当依法给予赔偿。</w:t>
      </w:r>
    </w:p>
    <w:p>
      <w:pPr>
        <w:pStyle w:val="4"/>
        <w:rPr>
          <w:rFonts w:hint="eastAsia"/>
        </w:rPr>
      </w:pPr>
      <w:r>
        <w:rPr>
          <w:rFonts w:hint="eastAsia"/>
        </w:rPr>
        <w:t>第六章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违反本条例规定，《中华人民共和国公路法》已有处罚规定的，从其规定。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未经批准擅自改变原有公路使用性质的，由县级以上人民政府交通主管部门责令停止违法行为，恢复原状，或者承担由此发生的费用。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车辆超过轴载质量擅自上路行驶的，由县级以上人民政府交通主管部门责令承运人按指定地点自行卸去超过的部分物品。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公路施工单位未采取有效安全措施，影响公路畅通的，由县级以上人民政府交通主管部门责令改正；造成公路损害的，应当承担赔偿责任。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设、养护公路过程中，不按照指定地点倾倒土石等杂物的，由县级以上人民政府交通主管部门责令限期清除；逾期未清除的，由县级以上人民政府交通主管部门清除或委托他人清除，所需费用由责任者承担。向河道倾倒土石等杂物的，按照国家机有关法律、法规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违反本条例规定，有下列情形之一的，由县级以上人民政府交通主管部门按照下列规定予以处罚：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（一）占用公路、公路用地从事经营性车辆加水或者填塞公路边沟的，责令限期改正；逾期未改正的，处以一千元以上五千元以下罚款；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（二）在小型公路桥梁周围一百米内挖砂、采石、取土、倾倒废弃物、实施爆破作业等危及公路桥梁安全的，责令停止违法行为；情节严重的，处以一千元以上二万元以下罚款；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在公路两侧建筑控制区内改建、扩建建筑物、地面构筑物和公路服务设施的，责令限期拆除新增的部分；逾期仍未拆除的，由交通主管部门拆除，所需费用由责任者承担；情节严重的，可处以五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（四）在公路两侧建筑控制区内擅自设置广告牌的，责令限期拆除；逾期未拆除的，由交通主管部门拆除，所需费用由责任者承担。</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违法审批在公路两侧建筑控制区内修建建筑物和地面构筑物的，由其所在单位或上级主管机关对负有直接责任的主管人员和其他直接责任人员进行行政处分；造成损失的，由审批机关承担赔偿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交通主管部门、公路路政管理机构工作人员玩忽职守、徇私舞弊、滥用职权，依法给予行政处分；构成犯罪的，依法追究刑事责任。交通主管部门、公路路政管理机构在实施具体行政行为中侵害管理相对人合法权益的，依照《中华人民共和国国家赔偿法》承担赔偿责任。</w:t>
      </w:r>
    </w:p>
    <w:p>
      <w:pPr>
        <w:pStyle w:val="4"/>
        <w:rPr>
          <w:rFonts w:hint="eastAsia"/>
        </w:rPr>
      </w:pPr>
      <w:r>
        <w:rPr>
          <w:rFonts w:hint="eastAsia"/>
        </w:rPr>
        <w:t>第七章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高速公路及收费公路的路政管理适用本条例；林业公路的路政管理可参照本条例执行。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本条例所称公路路产是指公路、已征用的公路用地及公路附属设施。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w:t>
      </w:r>
      <w:bookmarkStart w:id="0" w:name="_GoBack"/>
      <w:bookmarkEnd w:id="0"/>
      <w:r>
        <w:rPr>
          <w:rFonts w:hint="eastAsia" w:ascii="仿宋_GB2312" w:hAnsi="仿宋_GB2312" w:eastAsia="仿宋_GB2312" w:cs="仿宋_GB2312"/>
          <w:sz w:val="32"/>
          <w:szCs w:val="32"/>
        </w:rPr>
        <w:t>01年9月1日起施行。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8D63BA3"/>
    <w:rsid w:val="1EA33493"/>
    <w:rsid w:val="23364216"/>
    <w:rsid w:val="23DB78BE"/>
    <w:rsid w:val="271E2FC5"/>
    <w:rsid w:val="273E4908"/>
    <w:rsid w:val="2E621C5B"/>
    <w:rsid w:val="35FF24AD"/>
    <w:rsid w:val="3B376E18"/>
    <w:rsid w:val="3BE85E9A"/>
    <w:rsid w:val="465A1F42"/>
    <w:rsid w:val="4A3C2EA1"/>
    <w:rsid w:val="4AD92A82"/>
    <w:rsid w:val="533D7A46"/>
    <w:rsid w:val="53790912"/>
    <w:rsid w:val="667D2408"/>
    <w:rsid w:val="6ACA0CE1"/>
    <w:rsid w:val="70FC57B5"/>
    <w:rsid w:val="7AB2498F"/>
    <w:rsid w:val="7D1301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2017-02-09T07:22:39Z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