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eastAsia"/>
        </w:rPr>
      </w:pPr>
      <w:r>
        <w:rPr>
          <w:rFonts w:hint="eastAsia"/>
        </w:rPr>
        <w:t>福建省森林资源流转条例</w:t>
      </w:r>
    </w:p>
    <w:p>
      <w:pPr>
        <w:pStyle w:val="4"/>
        <w:rPr>
          <w:rFonts w:hint="eastAsia" w:ascii="楷体_GB2312" w:hAnsi="楷体_GB2312" w:eastAsia="楷体_GB2312" w:cs="楷体_GB2312"/>
        </w:rPr>
      </w:pPr>
      <w:r>
        <w:rPr>
          <w:rFonts w:hint="eastAsia" w:ascii="楷体_GB2312" w:hAnsi="楷体_GB2312" w:eastAsia="楷体_GB2312" w:cs="楷体_GB2312"/>
        </w:rPr>
        <w:t>（1997年7月30日福建省第八届人民代表大会常务委员会第三十三次会议通过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2005年9月29日福建省第十届人民代表大会常务委员会第十九次会议修订</w:t>
      </w:r>
      <w:r>
        <w:rPr>
          <w:rFonts w:hint="eastAsia" w:ascii="楷体_GB2312" w:hAnsi="楷体_GB2312" w:eastAsia="楷体_GB2312" w:cs="楷体_GB2312"/>
          <w:lang w:val="en-US" w:eastAsia="zh-CN"/>
        </w:rPr>
        <w:t xml:space="preserve"> </w:t>
      </w:r>
      <w:r>
        <w:rPr>
          <w:rFonts w:hint="eastAsia" w:ascii="楷体_GB2312" w:hAnsi="楷体_GB2312" w:cs="楷体_GB2312"/>
          <w:lang w:val="en-US" w:eastAsia="zh-CN"/>
        </w:rPr>
        <w:t>根据</w:t>
      </w:r>
      <w:r>
        <w:rPr>
          <w:rFonts w:hint="eastAsia" w:ascii="楷体_GB2312" w:hAnsi="楷体_GB2312" w:eastAsia="楷体_GB2312" w:cs="楷体_GB2312"/>
        </w:rPr>
        <w:t>2010年7月30日福建省第十一届人民代表大会常务委员会第十六次会议通过的《福建省人民代表大会常务委员会关于修改部分地方性法规的决定》修改）</w:t>
      </w:r>
    </w:p>
    <w:p>
      <w:pPr>
        <w:pStyle w:val="3"/>
        <w:ind w:left="0" w:leftChars="0" w:firstLine="0" w:firstLineChars="0"/>
        <w:jc w:val="center"/>
        <w:rPr>
          <w:rFonts w:hint="eastAsia" w:eastAsia="黑体"/>
        </w:rPr>
      </w:pPr>
      <w:r>
        <w:rPr>
          <w:rFonts w:hint="eastAsia"/>
          <w:lang w:eastAsia="zh-CN"/>
        </w:rPr>
        <w:t>第一章</w:t>
      </w:r>
      <w:r>
        <w:rPr>
          <w:rFonts w:hint="eastAsia"/>
          <w:lang w:val="en-US" w:eastAsia="zh-CN"/>
        </w:rPr>
        <w:t xml:space="preserve">  </w:t>
      </w:r>
      <w:r>
        <w:rPr>
          <w:rFonts w:hint="eastAsia"/>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eastAsia="黑体"/>
        </w:rPr>
      </w:pPr>
      <w:r>
        <w:rPr>
          <w:rFonts w:hint="eastAsia" w:eastAsia="黑体"/>
        </w:rPr>
        <w:t>第一</w:t>
      </w:r>
      <w:r>
        <w:rPr>
          <w:rFonts w:hint="eastAsia" w:eastAsia="黑体"/>
          <w:lang w:eastAsia="zh-CN"/>
        </w:rPr>
        <w:t xml:space="preserve">条  </w:t>
      </w:r>
      <w:r>
        <w:rPr>
          <w:rFonts w:hint="eastAsia"/>
        </w:rPr>
        <w:t>为规范森林资源流转，保护森林资源流转当事人的合法权益，促进林业改革与发展，根据有关法律、法规，结合本省实际，制定本条例。</w:t>
      </w:r>
    </w:p>
    <w:p>
      <w:pPr>
        <w:rPr>
          <w:rFonts w:hint="eastAsia"/>
        </w:rPr>
      </w:pPr>
      <w:r>
        <w:rPr>
          <w:rFonts w:hint="eastAsia" w:eastAsia="黑体"/>
        </w:rPr>
        <w:t>第二</w:t>
      </w:r>
      <w:r>
        <w:rPr>
          <w:rFonts w:hint="eastAsia" w:eastAsia="黑体"/>
          <w:lang w:eastAsia="zh-CN"/>
        </w:rPr>
        <w:t xml:space="preserve">条  </w:t>
      </w:r>
      <w:r>
        <w:rPr>
          <w:rFonts w:hint="eastAsia"/>
        </w:rPr>
        <w:t>本条例所称的森林资源流转是指森林、林木，以及林地使用权全部或者部分，依法由一方转移给另一方的行为。</w:t>
      </w:r>
    </w:p>
    <w:p>
      <w:pPr>
        <w:rPr>
          <w:rFonts w:hint="eastAsia"/>
        </w:rPr>
      </w:pPr>
      <w:r>
        <w:rPr>
          <w:rFonts w:hint="eastAsia"/>
        </w:rPr>
        <w:t>森林资源流转可以采取承包、拍卖、招标、协议或者其他方式进行，但国有森林资源流转应当采取拍卖或者招标的方式进行。</w:t>
      </w:r>
    </w:p>
    <w:p>
      <w:pPr>
        <w:rPr>
          <w:rFonts w:hint="eastAsia" w:eastAsia="黑体"/>
        </w:rPr>
      </w:pPr>
      <w:r>
        <w:rPr>
          <w:rFonts w:hint="eastAsia"/>
        </w:rPr>
        <w:t>改变林地用途的林地使用权流转不适用本条例。</w:t>
      </w:r>
    </w:p>
    <w:p>
      <w:pPr>
        <w:rPr>
          <w:rFonts w:hint="eastAsia"/>
        </w:rPr>
      </w:pPr>
      <w:r>
        <w:rPr>
          <w:rFonts w:hint="eastAsia" w:eastAsia="黑体"/>
        </w:rPr>
        <w:t>第三</w:t>
      </w:r>
      <w:r>
        <w:rPr>
          <w:rFonts w:hint="eastAsia" w:eastAsia="黑体"/>
          <w:lang w:eastAsia="zh-CN"/>
        </w:rPr>
        <w:t xml:space="preserve">条  </w:t>
      </w:r>
      <w:r>
        <w:rPr>
          <w:rFonts w:hint="eastAsia"/>
        </w:rPr>
        <w:t>森林资源流转应当有利于保护、发展和合理利用森林资源，不得损害国家、集体、个人利益和社会公共利益。</w:t>
      </w:r>
    </w:p>
    <w:p>
      <w:pPr>
        <w:rPr>
          <w:rFonts w:hint="eastAsia" w:eastAsia="黑体"/>
        </w:rPr>
      </w:pPr>
      <w:r>
        <w:rPr>
          <w:rFonts w:hint="eastAsia"/>
        </w:rPr>
        <w:t>森林资源流转应当遵循合法、自愿、公开、平等、诚信的原则。</w:t>
      </w:r>
    </w:p>
    <w:p>
      <w:pPr>
        <w:numPr>
          <w:ilvl w:val="0"/>
          <w:numId w:val="1"/>
        </w:numPr>
        <w:rPr>
          <w:rFonts w:hint="eastAsia"/>
        </w:rPr>
      </w:pPr>
      <w:r>
        <w:rPr>
          <w:rFonts w:hint="eastAsia" w:eastAsia="黑体"/>
          <w:lang w:eastAsia="zh-CN"/>
        </w:rPr>
        <w:t xml:space="preserve"> </w:t>
      </w:r>
      <w:r>
        <w:rPr>
          <w:rFonts w:hint="eastAsia"/>
        </w:rPr>
        <w:t>县级以上地方人民政府林业行政主管部门负责本行政区域内森林资源流转的管理工作。</w:t>
      </w:r>
    </w:p>
    <w:p>
      <w:pPr>
        <w:pStyle w:val="3"/>
        <w:rPr>
          <w:rFonts w:hint="eastAsia"/>
        </w:rPr>
      </w:pPr>
      <w:r>
        <w:rPr>
          <w:rFonts w:hint="eastAsia"/>
        </w:rPr>
        <w:t>第二章</w:t>
      </w:r>
      <w:r>
        <w:rPr>
          <w:rFonts w:hint="eastAsia"/>
          <w:lang w:val="en-US" w:eastAsia="zh-CN"/>
        </w:rPr>
        <w:t xml:space="preserve">  </w:t>
      </w:r>
      <w:r>
        <w:rPr>
          <w:rFonts w:hint="eastAsia"/>
        </w:rPr>
        <w:t>流转范围和程序</w:t>
      </w:r>
    </w:p>
    <w:p>
      <w:pPr>
        <w:rPr>
          <w:rFonts w:hint="eastAsia"/>
        </w:rPr>
      </w:pPr>
      <w:r>
        <w:rPr>
          <w:rFonts w:hint="eastAsia" w:eastAsia="黑体"/>
        </w:rPr>
        <w:t>第五</w:t>
      </w:r>
      <w:r>
        <w:rPr>
          <w:rFonts w:hint="eastAsia" w:eastAsia="黑体"/>
          <w:lang w:eastAsia="zh-CN"/>
        </w:rPr>
        <w:t xml:space="preserve">条  </w:t>
      </w:r>
      <w:r>
        <w:rPr>
          <w:rFonts w:hint="eastAsia"/>
        </w:rPr>
        <w:t>公民、法人和其他组织依法取得的权属明确的下列森林资源可以流转：</w:t>
      </w:r>
    </w:p>
    <w:p>
      <w:pPr>
        <w:rPr>
          <w:rFonts w:hint="eastAsia"/>
        </w:rPr>
      </w:pPr>
      <w:r>
        <w:rPr>
          <w:rFonts w:hint="eastAsia"/>
        </w:rPr>
        <w:t>（一）用材林、经济林、薪炭林；</w:t>
      </w:r>
    </w:p>
    <w:p>
      <w:pPr>
        <w:rPr>
          <w:rFonts w:hint="eastAsia"/>
        </w:rPr>
      </w:pPr>
      <w:r>
        <w:rPr>
          <w:rFonts w:hint="eastAsia"/>
        </w:rPr>
        <w:t>（二）用材林、经济林、薪炭林的林地使用权；</w:t>
      </w:r>
    </w:p>
    <w:p>
      <w:pPr>
        <w:rPr>
          <w:rFonts w:hint="eastAsia"/>
        </w:rPr>
      </w:pPr>
      <w:r>
        <w:rPr>
          <w:rFonts w:hint="eastAsia"/>
        </w:rPr>
        <w:t>（三）不在公益林经营区内的灌木林地、疏林地、采伐迹地、火烧迹地、未成林造林地、苗圃地和县级以上地方人民政府规划的宜林地的使用权；</w:t>
      </w:r>
    </w:p>
    <w:p>
      <w:pPr>
        <w:rPr>
          <w:rFonts w:hint="eastAsia" w:eastAsia="黑体"/>
        </w:rPr>
      </w:pPr>
      <w:r>
        <w:rPr>
          <w:rFonts w:hint="eastAsia"/>
        </w:rPr>
        <w:t>（四）法律、法规规定的其他可以流转的森林资源。</w:t>
      </w:r>
    </w:p>
    <w:p>
      <w:pPr>
        <w:rPr>
          <w:rFonts w:hint="eastAsia"/>
        </w:rPr>
      </w:pPr>
      <w:r>
        <w:rPr>
          <w:rFonts w:hint="eastAsia" w:eastAsia="黑体"/>
        </w:rPr>
        <w:t>第六</w:t>
      </w:r>
      <w:r>
        <w:rPr>
          <w:rFonts w:hint="eastAsia" w:eastAsia="黑体"/>
          <w:lang w:eastAsia="zh-CN"/>
        </w:rPr>
        <w:t xml:space="preserve">条  </w:t>
      </w:r>
      <w:r>
        <w:rPr>
          <w:rFonts w:hint="eastAsia"/>
        </w:rPr>
        <w:t>国有森林资源流转及其流转方式应当经有关主管部门批准，并依法进行监督管理。</w:t>
      </w:r>
    </w:p>
    <w:p>
      <w:pPr>
        <w:rPr>
          <w:rFonts w:hint="eastAsia"/>
        </w:rPr>
      </w:pPr>
      <w:r>
        <w:rPr>
          <w:rFonts w:hint="eastAsia"/>
        </w:rPr>
        <w:t>集体森林资源流转及其流转方式、流转保留价等，应当经本集体经济组织成员的村民会议三分之二以上成员或者三分之二以上村民代表同意。集体林地使用权流转给本集体经济组织以外的单位或者个人的，还应当报经乡（镇）人民政府批准。</w:t>
      </w:r>
    </w:p>
    <w:p>
      <w:pPr>
        <w:rPr>
          <w:rFonts w:hint="eastAsia"/>
        </w:rPr>
      </w:pPr>
      <w:r>
        <w:rPr>
          <w:rFonts w:hint="eastAsia"/>
        </w:rPr>
        <w:t>农村集体经济组织成员通过家庭承包取得的林地使用权的流转，依照《中华人民共和国农村土地承包法》等有关法律、法规的规定执行。</w:t>
      </w:r>
    </w:p>
    <w:p>
      <w:pPr>
        <w:rPr>
          <w:rFonts w:hint="eastAsia" w:eastAsia="黑体"/>
        </w:rPr>
      </w:pPr>
      <w:r>
        <w:rPr>
          <w:rFonts w:hint="eastAsia"/>
        </w:rPr>
        <w:t>合资经营、合作经营或者权属共有的森林资源流转，应当依法征求合资方、合作方或者权属共有方的意见。</w:t>
      </w:r>
    </w:p>
    <w:p>
      <w:pPr>
        <w:rPr>
          <w:rFonts w:hint="eastAsia"/>
        </w:rPr>
      </w:pPr>
      <w:r>
        <w:rPr>
          <w:rFonts w:hint="eastAsia" w:eastAsia="黑体"/>
        </w:rPr>
        <w:t>第七</w:t>
      </w:r>
      <w:r>
        <w:rPr>
          <w:rFonts w:hint="eastAsia" w:eastAsia="黑体"/>
          <w:lang w:eastAsia="zh-CN"/>
        </w:rPr>
        <w:t xml:space="preserve">条  </w:t>
      </w:r>
      <w:r>
        <w:rPr>
          <w:rFonts w:hint="eastAsia"/>
        </w:rPr>
        <w:t>国有森林资源流转应当进行森林资源资产评估。</w:t>
      </w:r>
    </w:p>
    <w:p>
      <w:pPr>
        <w:rPr>
          <w:rFonts w:hint="eastAsia"/>
        </w:rPr>
      </w:pPr>
      <w:r>
        <w:rPr>
          <w:rFonts w:hint="eastAsia"/>
        </w:rPr>
        <w:t>集体森林资源采取家庭承包方式流转的，是否进行森林资源资产评估，由本集体经济组织成员的村民会议或者村民代表会议讨论决定；集体森林资源采取拍卖、招标、协议或者其他方式流转的，应当进行森林资源资产评估,评估价可以作为森林资源流转保留价。</w:t>
      </w:r>
    </w:p>
    <w:p>
      <w:pPr>
        <w:rPr>
          <w:rFonts w:hint="eastAsia" w:eastAsia="黑体"/>
        </w:rPr>
      </w:pPr>
      <w:r>
        <w:rPr>
          <w:rFonts w:hint="eastAsia"/>
        </w:rPr>
        <w:t>其他所有制的森林资源流转是否进行森林资源资产评估，由其权属主体自主决定。</w:t>
      </w:r>
    </w:p>
    <w:p>
      <w:pPr>
        <w:rPr>
          <w:rFonts w:hint="eastAsia"/>
        </w:rPr>
      </w:pPr>
      <w:r>
        <w:rPr>
          <w:rFonts w:hint="eastAsia" w:eastAsia="黑体"/>
        </w:rPr>
        <w:t>第八</w:t>
      </w:r>
      <w:r>
        <w:rPr>
          <w:rFonts w:hint="eastAsia" w:eastAsia="黑体"/>
          <w:lang w:eastAsia="zh-CN"/>
        </w:rPr>
        <w:t xml:space="preserve">条  </w:t>
      </w:r>
      <w:r>
        <w:rPr>
          <w:rFonts w:hint="eastAsia"/>
        </w:rPr>
        <w:t>委托拍卖企业拍卖森林资源的，依照《中华人民共和国拍卖法》的有关规定执行。</w:t>
      </w:r>
    </w:p>
    <w:p>
      <w:pPr>
        <w:rPr>
          <w:rFonts w:hint="eastAsia"/>
        </w:rPr>
      </w:pPr>
      <w:r>
        <w:rPr>
          <w:rFonts w:hint="eastAsia"/>
        </w:rPr>
        <w:t>非委托拍卖企业拍卖森林资源的，应当在森林资源所在地的林业、监察等有关部门的监督下依照下列程序进行：</w:t>
      </w:r>
    </w:p>
    <w:p>
      <w:pPr>
        <w:rPr>
          <w:rFonts w:hint="eastAsia"/>
        </w:rPr>
      </w:pPr>
      <w:r>
        <w:rPr>
          <w:rFonts w:hint="eastAsia"/>
        </w:rPr>
        <w:t>（一）出让方在森林资源流转前七日发布公告；公告一般包括拍卖标的、拍卖形式、竞买者条件、竞买者登记期限、竞买时间、竞买地点等内容；</w:t>
      </w:r>
    </w:p>
    <w:p>
      <w:pPr>
        <w:rPr>
          <w:rFonts w:hint="eastAsia"/>
        </w:rPr>
      </w:pPr>
      <w:r>
        <w:rPr>
          <w:rFonts w:hint="eastAsia"/>
        </w:rPr>
        <w:t>（二）竞买者在公告规定的期限内向出让方登记，领取有关资料；</w:t>
      </w:r>
    </w:p>
    <w:p>
      <w:pPr>
        <w:rPr>
          <w:rFonts w:hint="eastAsia"/>
        </w:rPr>
      </w:pPr>
      <w:r>
        <w:rPr>
          <w:rFonts w:hint="eastAsia"/>
        </w:rPr>
        <w:t>（三）出让方审查竞买者条件；</w:t>
      </w:r>
    </w:p>
    <w:p>
      <w:pPr>
        <w:rPr>
          <w:rFonts w:hint="eastAsia"/>
        </w:rPr>
      </w:pPr>
      <w:r>
        <w:rPr>
          <w:rFonts w:hint="eastAsia"/>
        </w:rPr>
        <w:t>（四）符合条件的竞买者不得少于三个，并应当在向出让方交纳保证金后参加竞买；</w:t>
      </w:r>
    </w:p>
    <w:p>
      <w:pPr>
        <w:rPr>
          <w:rFonts w:hint="eastAsia" w:eastAsia="黑体"/>
        </w:rPr>
      </w:pPr>
      <w:r>
        <w:rPr>
          <w:rFonts w:hint="eastAsia"/>
        </w:rPr>
        <w:t>（五）竞买的价高者为受让方，但最高价不得低于保留价；受让方应当当场与出让方签订流转合同；其他竞买者交纳的保证金，由出让方当场如数退还。</w:t>
      </w:r>
    </w:p>
    <w:p>
      <w:pPr>
        <w:rPr>
          <w:rFonts w:hint="eastAsia" w:eastAsia="黑体"/>
        </w:rPr>
      </w:pPr>
      <w:r>
        <w:rPr>
          <w:rFonts w:hint="eastAsia" w:eastAsia="黑体"/>
        </w:rPr>
        <w:t>第九</w:t>
      </w:r>
      <w:r>
        <w:rPr>
          <w:rFonts w:hint="eastAsia" w:eastAsia="黑体"/>
          <w:lang w:eastAsia="zh-CN"/>
        </w:rPr>
        <w:t xml:space="preserve">条  </w:t>
      </w:r>
      <w:r>
        <w:rPr>
          <w:rFonts w:hint="eastAsia"/>
        </w:rPr>
        <w:t>招标流转森林资源的，依照《中华人民共和国招标投标法》的有关规定执行。</w:t>
      </w:r>
    </w:p>
    <w:p>
      <w:pPr>
        <w:rPr>
          <w:rFonts w:hint="eastAsia"/>
        </w:rPr>
      </w:pPr>
      <w:r>
        <w:rPr>
          <w:rFonts w:hint="eastAsia" w:eastAsia="黑体"/>
        </w:rPr>
        <w:t>第十</w:t>
      </w:r>
      <w:r>
        <w:rPr>
          <w:rFonts w:hint="eastAsia" w:eastAsia="黑体"/>
          <w:lang w:eastAsia="zh-CN"/>
        </w:rPr>
        <w:t xml:space="preserve">条  </w:t>
      </w:r>
      <w:r>
        <w:rPr>
          <w:rFonts w:hint="eastAsia"/>
        </w:rPr>
        <w:t>协议流转森林资源的程序：</w:t>
      </w:r>
    </w:p>
    <w:p>
      <w:pPr>
        <w:rPr>
          <w:rFonts w:hint="eastAsia"/>
        </w:rPr>
      </w:pPr>
      <w:r>
        <w:rPr>
          <w:rFonts w:hint="eastAsia"/>
        </w:rPr>
        <w:t>（一）流转双方依法协商；</w:t>
      </w:r>
    </w:p>
    <w:p>
      <w:pPr>
        <w:rPr>
          <w:rFonts w:hint="eastAsia"/>
        </w:rPr>
      </w:pPr>
      <w:r>
        <w:rPr>
          <w:rFonts w:hint="eastAsia"/>
        </w:rPr>
        <w:t>（二）流转双方签订流转合同。</w:t>
      </w:r>
    </w:p>
    <w:p>
      <w:pPr>
        <w:rPr>
          <w:rFonts w:hint="eastAsia"/>
        </w:rPr>
      </w:pPr>
      <w:r>
        <w:rPr>
          <w:rFonts w:hint="eastAsia"/>
        </w:rPr>
        <w:t>集体森林资源采取协议方式流转的，应当接受村务监督小组的监督，其流转价款不得低于森林资源资产评估价。</w:t>
      </w:r>
    </w:p>
    <w:p>
      <w:pPr>
        <w:pStyle w:val="3"/>
        <w:rPr>
          <w:rFonts w:hint="eastAsia"/>
        </w:rPr>
      </w:pPr>
      <w:r>
        <w:rPr>
          <w:rFonts w:hint="eastAsia"/>
        </w:rPr>
        <w:t>第三章</w:t>
      </w:r>
      <w:r>
        <w:rPr>
          <w:rFonts w:hint="eastAsia"/>
          <w:lang w:val="en-US" w:eastAsia="zh-CN"/>
        </w:rPr>
        <w:t xml:space="preserve">  </w:t>
      </w:r>
      <w:r>
        <w:rPr>
          <w:rFonts w:hint="eastAsia"/>
        </w:rPr>
        <w:t>流转管理</w:t>
      </w:r>
    </w:p>
    <w:p>
      <w:pPr>
        <w:rPr>
          <w:rFonts w:hint="eastAsia"/>
        </w:rPr>
      </w:pPr>
      <w:r>
        <w:rPr>
          <w:rFonts w:hint="eastAsia" w:eastAsia="黑体"/>
        </w:rPr>
        <w:t>第十一</w:t>
      </w:r>
      <w:r>
        <w:rPr>
          <w:rFonts w:hint="eastAsia" w:eastAsia="黑体"/>
          <w:lang w:eastAsia="zh-CN"/>
        </w:rPr>
        <w:t xml:space="preserve">条  </w:t>
      </w:r>
      <w:r>
        <w:rPr>
          <w:rFonts w:hint="eastAsia"/>
        </w:rPr>
        <w:t>森林资源流转合同应当包括以下主要条款：</w:t>
      </w:r>
    </w:p>
    <w:p>
      <w:pPr>
        <w:rPr>
          <w:rFonts w:hint="eastAsia"/>
        </w:rPr>
      </w:pPr>
      <w:r>
        <w:rPr>
          <w:rFonts w:hint="eastAsia"/>
        </w:rPr>
        <w:t>（一）流转双方名称；</w:t>
      </w:r>
    </w:p>
    <w:p>
      <w:pPr>
        <w:rPr>
          <w:rFonts w:hint="eastAsia"/>
        </w:rPr>
      </w:pPr>
      <w:r>
        <w:rPr>
          <w:rFonts w:hint="eastAsia"/>
        </w:rPr>
        <w:t>（二）流转的森林资源的林种、树种、林龄、地点、面积、四至、蓄积量或者株数；</w:t>
      </w:r>
    </w:p>
    <w:p>
      <w:pPr>
        <w:rPr>
          <w:rFonts w:hint="eastAsia"/>
        </w:rPr>
      </w:pPr>
      <w:r>
        <w:rPr>
          <w:rFonts w:hint="eastAsia"/>
        </w:rPr>
        <w:t>（三）流转价款、付款方式和付款时间；</w:t>
      </w:r>
    </w:p>
    <w:p>
      <w:pPr>
        <w:rPr>
          <w:rFonts w:hint="eastAsia"/>
        </w:rPr>
      </w:pPr>
      <w:r>
        <w:rPr>
          <w:rFonts w:hint="eastAsia"/>
        </w:rPr>
        <w:t>（四）森林管护责任、风险承担；</w:t>
      </w:r>
    </w:p>
    <w:p>
      <w:pPr>
        <w:rPr>
          <w:rFonts w:hint="eastAsia"/>
        </w:rPr>
      </w:pPr>
      <w:r>
        <w:rPr>
          <w:rFonts w:hint="eastAsia"/>
        </w:rPr>
        <w:t>（五）流转期限、用途和更新造林责任；</w:t>
      </w:r>
    </w:p>
    <w:p>
      <w:pPr>
        <w:rPr>
          <w:rFonts w:hint="eastAsia"/>
        </w:rPr>
      </w:pPr>
      <w:r>
        <w:rPr>
          <w:rFonts w:hint="eastAsia"/>
        </w:rPr>
        <w:t>（六）违约责任；</w:t>
      </w:r>
    </w:p>
    <w:p>
      <w:pPr>
        <w:rPr>
          <w:rFonts w:hint="eastAsia" w:eastAsia="黑体"/>
        </w:rPr>
      </w:pPr>
      <w:r>
        <w:rPr>
          <w:rFonts w:hint="eastAsia"/>
        </w:rPr>
        <w:t>（七）争议的解决方式。</w:t>
      </w:r>
    </w:p>
    <w:p>
      <w:pPr>
        <w:rPr>
          <w:rFonts w:hint="eastAsia" w:eastAsia="黑体"/>
        </w:rPr>
      </w:pPr>
      <w:r>
        <w:rPr>
          <w:rFonts w:hint="eastAsia" w:eastAsia="黑体"/>
        </w:rPr>
        <w:t>第十二</w:t>
      </w:r>
      <w:r>
        <w:rPr>
          <w:rFonts w:hint="eastAsia" w:eastAsia="黑体"/>
          <w:lang w:eastAsia="zh-CN"/>
        </w:rPr>
        <w:t xml:space="preserve">条  </w:t>
      </w:r>
      <w:r>
        <w:rPr>
          <w:rFonts w:hint="eastAsia"/>
        </w:rPr>
        <w:t>森林资源流转的期限一般不超过七十年，再流转的期限不得超过原流转的剩余期限。法律法规另有规定的，从其规定。</w:t>
      </w:r>
    </w:p>
    <w:p>
      <w:pPr>
        <w:rPr>
          <w:rFonts w:hint="eastAsia" w:eastAsia="黑体"/>
        </w:rPr>
      </w:pPr>
      <w:r>
        <w:rPr>
          <w:rFonts w:hint="eastAsia" w:eastAsia="黑体"/>
        </w:rPr>
        <w:t>第十三</w:t>
      </w:r>
      <w:r>
        <w:rPr>
          <w:rFonts w:hint="eastAsia" w:eastAsia="黑体"/>
          <w:lang w:eastAsia="zh-CN"/>
        </w:rPr>
        <w:t xml:space="preserve">条  </w:t>
      </w:r>
      <w:r>
        <w:rPr>
          <w:rFonts w:hint="eastAsia"/>
        </w:rPr>
        <w:t>森林资源流转后，流转双方向森林资源所在地县级以上地方人民政府林业行政主管部门申请办理林权变更登记的，受理机关应当自收到申请材料之日起五日内审查完毕。经审查符合条件的，县级以上地方人民政府应当在二十日内进行变更登记，但国家规定需要公示的，从其规定；不符合条件的，县级以上地方人民政府林业行政主管部门应当向申请人说明理由。</w:t>
      </w:r>
    </w:p>
    <w:p>
      <w:pPr>
        <w:rPr>
          <w:rFonts w:hint="eastAsia"/>
        </w:rPr>
      </w:pPr>
      <w:r>
        <w:rPr>
          <w:rFonts w:hint="eastAsia" w:eastAsia="黑体"/>
        </w:rPr>
        <w:t>第十</w:t>
      </w:r>
      <w:r>
        <w:rPr>
          <w:rFonts w:hint="eastAsia" w:eastAsia="黑体"/>
          <w:lang w:eastAsia="zh-CN"/>
        </w:rPr>
        <w:t xml:space="preserve">四条  </w:t>
      </w:r>
      <w:r>
        <w:rPr>
          <w:rFonts w:hint="eastAsia"/>
        </w:rPr>
        <w:t>森林资源资产评估，应当由具有相应评估条件的机构进行。</w:t>
      </w:r>
    </w:p>
    <w:p>
      <w:pPr>
        <w:rPr>
          <w:rFonts w:hint="eastAsia" w:eastAsia="黑体"/>
        </w:rPr>
      </w:pPr>
      <w:r>
        <w:rPr>
          <w:rFonts w:hint="eastAsia"/>
        </w:rPr>
        <w:t>森林资源资产评估机构的条件和管理办法由省人民政府另行制定。</w:t>
      </w:r>
    </w:p>
    <w:p>
      <w:pPr>
        <w:rPr>
          <w:rFonts w:hint="eastAsia" w:eastAsia="黑体"/>
        </w:rPr>
      </w:pPr>
      <w:r>
        <w:rPr>
          <w:rFonts w:hint="eastAsia" w:eastAsia="黑体"/>
        </w:rPr>
        <w:t>第十</w:t>
      </w:r>
      <w:r>
        <w:rPr>
          <w:rFonts w:hint="eastAsia" w:eastAsia="黑体"/>
          <w:lang w:eastAsia="zh-CN"/>
        </w:rPr>
        <w:t xml:space="preserve">五条  </w:t>
      </w:r>
      <w:r>
        <w:rPr>
          <w:rFonts w:hint="eastAsia"/>
        </w:rPr>
        <w:t>受让林木的采伐按有关法律法规的规定管理，采伐量应当纳入所在县（市、区）森林采伐限额。</w:t>
      </w:r>
    </w:p>
    <w:p>
      <w:pPr>
        <w:rPr>
          <w:rFonts w:hint="eastAsia" w:eastAsia="黑体"/>
        </w:rPr>
      </w:pPr>
      <w:r>
        <w:rPr>
          <w:rFonts w:hint="eastAsia" w:eastAsia="黑体"/>
        </w:rPr>
        <w:t>第十</w:t>
      </w:r>
      <w:r>
        <w:rPr>
          <w:rFonts w:hint="eastAsia" w:eastAsia="黑体"/>
          <w:lang w:eastAsia="zh-CN"/>
        </w:rPr>
        <w:t xml:space="preserve">六条  </w:t>
      </w:r>
      <w:r>
        <w:rPr>
          <w:rFonts w:hint="eastAsia"/>
        </w:rPr>
        <w:t>森林资源流转合同规定的更新造林责任方在林木采伐后，应当于当年或者次年内完成迹地更新造林，并通过所在地县级人民政府组织的造林质量验收。</w:t>
      </w:r>
    </w:p>
    <w:p>
      <w:pPr>
        <w:rPr>
          <w:rFonts w:hint="eastAsia"/>
        </w:rPr>
      </w:pPr>
      <w:r>
        <w:rPr>
          <w:rFonts w:hint="eastAsia" w:eastAsia="黑体"/>
        </w:rPr>
        <w:t>第十</w:t>
      </w:r>
      <w:r>
        <w:rPr>
          <w:rFonts w:hint="eastAsia" w:eastAsia="黑体"/>
          <w:lang w:eastAsia="zh-CN"/>
        </w:rPr>
        <w:t xml:space="preserve">七条  </w:t>
      </w:r>
      <w:r>
        <w:rPr>
          <w:rFonts w:hint="eastAsia"/>
        </w:rPr>
        <w:t>县级以上地方人民政府林业行政主管部门和乡（镇）人民政府可以建立森林资源流转信息库，及时发布森林资源流转的供求信息，并为流转活动提供指导和服务。有条件的地方还可以建立森林资源流转市场。</w:t>
      </w:r>
    </w:p>
    <w:p>
      <w:pPr>
        <w:pStyle w:val="3"/>
        <w:rPr>
          <w:rFonts w:hint="eastAsia"/>
        </w:rPr>
      </w:pPr>
      <w:r>
        <w:rPr>
          <w:rFonts w:hint="eastAsia"/>
        </w:rPr>
        <w:t>第四章</w:t>
      </w:r>
      <w:r>
        <w:rPr>
          <w:rFonts w:hint="eastAsia"/>
          <w:lang w:val="en-US" w:eastAsia="zh-CN"/>
        </w:rPr>
        <w:t xml:space="preserve">  </w:t>
      </w:r>
      <w:r>
        <w:rPr>
          <w:rFonts w:hint="eastAsia"/>
        </w:rPr>
        <w:t>法律责任</w:t>
      </w:r>
    </w:p>
    <w:p>
      <w:pPr>
        <w:rPr>
          <w:rFonts w:hint="eastAsia" w:eastAsia="黑体"/>
        </w:rPr>
      </w:pPr>
      <w:r>
        <w:rPr>
          <w:rFonts w:hint="eastAsia" w:eastAsia="黑体"/>
        </w:rPr>
        <w:t>第十</w:t>
      </w:r>
      <w:r>
        <w:rPr>
          <w:rFonts w:hint="eastAsia" w:eastAsia="黑体"/>
          <w:lang w:eastAsia="zh-CN"/>
        </w:rPr>
        <w:t xml:space="preserve">八条  </w:t>
      </w:r>
      <w:r>
        <w:rPr>
          <w:rFonts w:hint="eastAsia"/>
        </w:rPr>
        <w:t>违反本条例第五条、第六条、第七条、第十条第二款、第十二条规定，进行森林资源流转的，县级以上地方人民政府不予办理林权变更登记。违反第六条、第七条规定的，还应当由有关主管部门或者组织对直接负责的主管人员和其他直接责任人依法追究责任。</w:t>
      </w:r>
    </w:p>
    <w:p>
      <w:pPr>
        <w:rPr>
          <w:rFonts w:hint="eastAsia" w:eastAsia="黑体"/>
        </w:rPr>
      </w:pPr>
      <w:r>
        <w:rPr>
          <w:rFonts w:hint="eastAsia" w:eastAsia="黑体"/>
        </w:rPr>
        <w:t>第十</w:t>
      </w:r>
      <w:r>
        <w:rPr>
          <w:rFonts w:hint="eastAsia" w:eastAsia="黑体"/>
          <w:lang w:eastAsia="zh-CN"/>
        </w:rPr>
        <w:t xml:space="preserve">九条  </w:t>
      </w:r>
      <w:r>
        <w:rPr>
          <w:rFonts w:hint="eastAsia"/>
        </w:rPr>
        <w:t>受让方未按本条例第八条第二款第五项规定与出让方签订流转合同的，取消其受让方资格，所交纳的保证金不予退还；造成出让方损失的，受让方应当赔偿损失。出让方不按规定与受让方签订流转合同的，应当如数退还保证金；造成受让方损失的，出让方应当赔偿损失。</w:t>
      </w:r>
    </w:p>
    <w:p>
      <w:pPr>
        <w:rPr>
          <w:rFonts w:hint="eastAsia"/>
        </w:rPr>
      </w:pPr>
      <w:r>
        <w:rPr>
          <w:rFonts w:hint="eastAsia" w:eastAsia="黑体"/>
        </w:rPr>
        <w:t>第二十</w:t>
      </w:r>
      <w:r>
        <w:rPr>
          <w:rFonts w:hint="eastAsia" w:eastAsia="黑体"/>
          <w:lang w:eastAsia="zh-CN"/>
        </w:rPr>
        <w:t xml:space="preserve">条  </w:t>
      </w:r>
      <w:r>
        <w:rPr>
          <w:rFonts w:hint="eastAsia"/>
        </w:rPr>
        <w:t>森林资源资产评估机构及其工作人员弄虚作假、徇私舞弊的，其评估结果无效，并由有关行政主管部门处以该评估费用二至四倍的罚款；造成损失的，应当赔偿损失；构成犯罪的，依法追究刑事责任。</w:t>
      </w:r>
    </w:p>
    <w:p>
      <w:pPr>
        <w:rPr>
          <w:rFonts w:hint="eastAsia"/>
        </w:rPr>
      </w:pPr>
      <w:r>
        <w:rPr>
          <w:rFonts w:hint="eastAsia"/>
        </w:rPr>
        <w:t>流转当事人弄虚作假、操纵拍卖的，由县级以上林业行政主管部门处以该森林资源流转价款总额百分之一至百分之三的罚款。</w:t>
      </w:r>
    </w:p>
    <w:p>
      <w:pPr>
        <w:rPr>
          <w:rFonts w:hint="eastAsia"/>
        </w:rPr>
      </w:pPr>
      <w:r>
        <w:rPr>
          <w:rFonts w:hint="eastAsia"/>
        </w:rPr>
        <w:t>林业行政主管部门工作人员，流转双方主要负责人和直接责任人，徇私舞弊、行贿受贿、贪污挪用或者有其他违法行为的，由其所在单位或者其上级主管部门依法处理；构成犯罪的，依法追究刑事责任。</w:t>
      </w:r>
    </w:p>
    <w:p>
      <w:pPr>
        <w:pStyle w:val="3"/>
        <w:rPr>
          <w:rFonts w:hint="eastAsia"/>
        </w:rPr>
      </w:pPr>
      <w:r>
        <w:rPr>
          <w:rFonts w:hint="eastAsia"/>
        </w:rPr>
        <w:t>第五章</w:t>
      </w:r>
      <w:r>
        <w:rPr>
          <w:rFonts w:hint="eastAsia"/>
          <w:lang w:val="en-US" w:eastAsia="zh-CN"/>
        </w:rPr>
        <w:t xml:space="preserve">  </w:t>
      </w:r>
      <w:bookmarkStart w:id="0" w:name="_GoBack"/>
      <w:bookmarkEnd w:id="0"/>
      <w:r>
        <w:rPr>
          <w:rFonts w:hint="eastAsia"/>
        </w:rPr>
        <w:t>附则</w:t>
      </w:r>
    </w:p>
    <w:p>
      <w:pPr>
        <w:rPr>
          <w:rFonts w:hint="eastAsia" w:eastAsia="黑体"/>
        </w:rPr>
      </w:pPr>
      <w:r>
        <w:rPr>
          <w:rFonts w:hint="eastAsia" w:eastAsia="黑体"/>
        </w:rPr>
        <w:t>第二十</w:t>
      </w:r>
      <w:r>
        <w:rPr>
          <w:rFonts w:hint="eastAsia" w:eastAsia="黑体"/>
          <w:lang w:eastAsia="zh-CN"/>
        </w:rPr>
        <w:t xml:space="preserve">一条  </w:t>
      </w:r>
      <w:r>
        <w:rPr>
          <w:rFonts w:hint="eastAsia"/>
        </w:rPr>
        <w:t>森林资源资产评估费用标准，由价格管理部门依照《福建省定价目录》的有关规定确定。</w:t>
      </w:r>
    </w:p>
    <w:p>
      <w:r>
        <w:rPr>
          <w:rFonts w:hint="eastAsia" w:eastAsia="黑体"/>
        </w:rPr>
        <w:t>第二十</w:t>
      </w:r>
      <w:r>
        <w:rPr>
          <w:rFonts w:hint="eastAsia" w:eastAsia="黑体"/>
          <w:lang w:eastAsia="zh-CN"/>
        </w:rPr>
        <w:t xml:space="preserve">二条  </w:t>
      </w:r>
      <w:r>
        <w:rPr>
          <w:rFonts w:hint="eastAsia"/>
        </w:rPr>
        <w:t>本条例自2005年12月1日起施行。</w:t>
      </w:r>
    </w:p>
    <w:p>
      <w:pPr>
        <w:rPr>
          <w:rFonts w:hint="eastAsia"/>
          <w:b w:val="0"/>
          <w:bCs/>
          <w:lang w:eastAsia="zh-CN"/>
        </w:rPr>
      </w:pPr>
    </w:p>
    <w:sectPr>
      <w:footerReference r:id="rId3" w:type="default"/>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502050306020203"/>
    <w:charset w:val="00"/>
    <w:family w:val="roman"/>
    <w:pitch w:val="default"/>
    <w:sig w:usb0="00000007" w:usb1="00000000" w:usb2="00000000" w:usb3="00000000" w:csb0="00000093" w:csb1="00000000"/>
  </w:font>
  <w:font w:name="仿宋">
    <w:altName w:val="Arial Unicode MS"/>
    <w:panose1 w:val="00000000000000000000"/>
    <w:charset w:val="86"/>
    <w:family w:val="auto"/>
    <w:pitch w:val="default"/>
    <w:sig w:usb0="00000000" w:usb1="00000000" w:usb2="00000016" w:usb3="00000000" w:csb0="00040001" w:csb1="00000000"/>
  </w:font>
  <w:font w:name="楷体">
    <w:altName w:val="Arial Unicode MS"/>
    <w:panose1 w:val="00000000000000000000"/>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
    <w:altName w:val="楷体_GB2312"/>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大黑简体">
    <w:panose1 w:val="03000509000000000000"/>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黑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1"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方正中等线_GBK">
    <w:panose1 w:val="03000509000000000000"/>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简体">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EU-B5">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8X">
    <w:panose1 w:val="03000509000000000000"/>
    <w:charset w:val="86"/>
    <w:family w:val="auto"/>
    <w:pitch w:val="default"/>
    <w:sig w:usb0="00000001" w:usb1="080E0000" w:usb2="00000000" w:usb3="00000000" w:csb0="00040000" w:csb1="00000000"/>
  </w:font>
  <w:font w:name="EU-BKH">
    <w:panose1 w:val="03000509000000000000"/>
    <w:charset w:val="86"/>
    <w:family w:val="auto"/>
    <w:pitch w:val="default"/>
    <w:sig w:usb0="00000001" w:usb1="080E0000" w:usb2="00000000" w:usb3="00000000" w:csb0="00040000" w:csb1="00000000"/>
  </w:font>
  <w:font w:name="EU-F1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5X">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7X">
    <w:panose1 w:val="03000509000000000000"/>
    <w:charset w:val="86"/>
    <w:family w:val="auto"/>
    <w:pitch w:val="default"/>
    <w:sig w:usb0="00000001" w:usb1="080E0000" w:usb2="00000000" w:usb3="00000000" w:csb0="00040000" w:csb1="00000000"/>
  </w:font>
  <w:font w:name="EU-X1X">
    <w:panose1 w:val="03000509000000000000"/>
    <w:charset w:val="86"/>
    <w:family w:val="auto"/>
    <w:pitch w:val="default"/>
    <w:sig w:usb0="00000001" w:usb1="080E0000" w:usb2="00000000" w:usb3="00000000" w:csb0="00040000" w:csb1="00000000"/>
  </w:font>
  <w:font w:name="EU-XT">
    <w:panose1 w:val="03000509000000000000"/>
    <w:charset w:val="86"/>
    <w:family w:val="auto"/>
    <w:pitch w:val="default"/>
    <w:sig w:usb0="00000001" w:usb1="080E0000" w:usb2="00000000" w:usb3="00000000" w:csb0="00040000" w:csb1="00000000"/>
  </w:font>
  <w:font w:name="EU-YB">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
    <w:panose1 w:val="02020300000000000000"/>
    <w:charset w:val="88"/>
    <w:family w:val="auto"/>
    <w:pitch w:val="default"/>
    <w:sig w:usb0="00000003" w:usb1="082E0000" w:usb2="00000016" w:usb3="00000000" w:csb0="001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panose1 w:val="0307040205030203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larendonPS">
    <w:panose1 w:val="02040604040505020204"/>
    <w:charset w:val="00"/>
    <w:family w:val="auto"/>
    <w:pitch w:val="default"/>
    <w:sig w:usb0="00000007" w:usb1="00000000" w:usb2="00000000" w:usb3="00000000" w:csb0="00000093" w:csb1="00000000"/>
  </w:font>
  <w:font w:name="Constantia">
    <w:panose1 w:val="02030602050306030303"/>
    <w:charset w:val="00"/>
    <w:family w:val="auto"/>
    <w:pitch w:val="default"/>
    <w:sig w:usb0="A00002EF" w:usb1="4000204B" w:usb2="00000000" w:usb3="00000000" w:csb0="2000009F"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urostile">
    <w:panose1 w:val="020B0504020202050204"/>
    <w:charset w:val="00"/>
    <w:family w:val="auto"/>
    <w:pitch w:val="default"/>
    <w:sig w:usb0="00000007"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eneva">
    <w:panose1 w:val="020B0503030404040204"/>
    <w:charset w:val="00"/>
    <w:family w:val="auto"/>
    <w:pitch w:val="default"/>
    <w:sig w:usb0="00000007" w:usb1="00000000" w:usb2="00000000" w:usb3="00000000" w:csb0="00000093" w:csb1="00000000"/>
  </w:font>
  <w:font w:name="Gill Sans MT">
    <w:panose1 w:val="020B0502020104020203"/>
    <w:charset w:val="00"/>
    <w:family w:val="auto"/>
    <w:pitch w:val="default"/>
    <w:sig w:usb0="00000003" w:usb1="00000000" w:usb2="00000000" w:usb3="00000000" w:csb0="20000003" w:csb1="00000000"/>
  </w:font>
  <w:font w:name="GillSans Condensed">
    <w:panose1 w:val="020B0506020204020204"/>
    <w:charset w:val="00"/>
    <w:family w:val="auto"/>
    <w:pitch w:val="default"/>
    <w:sig w:usb0="00000007" w:usb1="00000000" w:usb2="00000000" w:usb3="00000000" w:csb0="00000093" w:csb1="00000000"/>
  </w:font>
  <w:font w:name="GillSans ExtraBold">
    <w:panose1 w:val="020B0902020204020204"/>
    <w:charset w:val="00"/>
    <w:family w:val="auto"/>
    <w:pitch w:val="default"/>
    <w:sig w:usb0="00000007" w:usb1="00000000" w:usb2="00000000" w:usb3="00000000" w:csb0="00000093" w:csb1="00000000"/>
  </w:font>
  <w:font w:name="Goudy ExtraBold">
    <w:panose1 w:val="02040702050305020303"/>
    <w:charset w:val="00"/>
    <w:family w:val="auto"/>
    <w:pitch w:val="default"/>
    <w:sig w:usb0="00000003" w:usb1="00000000" w:usb2="00000000" w:usb3="00000000" w:csb0="00000001" w:csb1="00000000"/>
  </w:font>
  <w:font w:name="Goudy Old Style">
    <w:panose1 w:val="02020502050305020303"/>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elvetica-Black">
    <w:panose1 w:val="020B0904030502030204"/>
    <w:charset w:val="00"/>
    <w:family w:val="auto"/>
    <w:pitch w:val="default"/>
    <w:sig w:usb0="00000003" w:usb1="00000000" w:usb2="00000000" w:usb3="00000000" w:csb0="00000001" w:csb1="00000000"/>
  </w:font>
  <w:font w:name="Helvetica-Light">
    <w:panose1 w:val="020B0404020202030204"/>
    <w:charset w:val="00"/>
    <w:family w:val="auto"/>
    <w:pitch w:val="default"/>
    <w:sig w:usb0="00000003" w:usb1="00000000"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Hoefler Text Ornaments">
    <w:panose1 w:val="05090102010207020202"/>
    <w:charset w:val="00"/>
    <w:family w:val="auto"/>
    <w:pitch w:val="default"/>
    <w:sig w:usb0="00000000" w:usb1="00000000" w:usb2="00000000" w:usb3="00000000" w:csb0="80000000" w:csb1="00000000"/>
  </w:font>
  <w:font w:name="Mona Lisa Recut">
    <w:panose1 w:val="04050504080603030502"/>
    <w:charset w:val="00"/>
    <w:family w:val="auto"/>
    <w:pitch w:val="default"/>
    <w:sig w:usb0="00000003" w:usb1="00000000" w:usb2="00000000" w:usb3="00000000" w:csb0="00000001" w:csb1="00000000"/>
  </w:font>
  <w:font w:name="New York">
    <w:panose1 w:val="02020502060305060204"/>
    <w:charset w:val="00"/>
    <w:family w:val="auto"/>
    <w:pitch w:val="default"/>
    <w:sig w:usb0="00000007" w:usb1="00000000" w:usb2="00000000" w:usb3="00000000" w:csb0="00000093" w:csb1="00000000"/>
  </w:font>
  <w:font w:name="Taffy">
    <w:panose1 w:val="03050402030202030204"/>
    <w:charset w:val="00"/>
    <w:family w:val="auto"/>
    <w:pitch w:val="default"/>
    <w:sig w:usb0="00000003" w:usb1="00000000" w:usb2="00000000" w:usb3="00000000" w:csb0="00000001" w:csb1="00000000"/>
  </w:font>
  <w:font w:name="Tahoma">
    <w:panose1 w:val="020B0604030504040204"/>
    <w:charset w:val="00"/>
    <w:family w:val="auto"/>
    <w:pitch w:val="default"/>
    <w:sig w:usb0="61007A87" w:usb1="80000000" w:usb2="00000008" w:usb3="00000000" w:csb0="200101FF" w:csb1="20280000"/>
  </w:font>
  <w:font w:name="Tempus Sans ITC">
    <w:panose1 w:val="04020404030D07020202"/>
    <w:charset w:val="00"/>
    <w:family w:val="auto"/>
    <w:pitch w:val="default"/>
    <w:sig w:usb0="00000003" w:usb1="00000000" w:usb2="00000000" w:usb3="00000000" w:csb0="20000001" w:csb1="0000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287" w:usb1="00000000" w:usb2="00000000" w:usb3="00000000" w:csb0="000000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612A8"/>
    <w:multiLevelType w:val="singleLevel"/>
    <w:tmpl w:val="58B612A8"/>
    <w:lvl w:ilvl="0" w:tentative="0">
      <w:start w:val="4"/>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86"/>
    <w:rsid w:val="001D7586"/>
    <w:rsid w:val="00343138"/>
    <w:rsid w:val="00803D93"/>
    <w:rsid w:val="06F7272D"/>
    <w:rsid w:val="08B0081A"/>
    <w:rsid w:val="0EA43D61"/>
    <w:rsid w:val="11A62A4B"/>
    <w:rsid w:val="158D7161"/>
    <w:rsid w:val="15B212D7"/>
    <w:rsid w:val="1AD50645"/>
    <w:rsid w:val="1B5C22DB"/>
    <w:rsid w:val="307F71DE"/>
    <w:rsid w:val="35F16EBF"/>
    <w:rsid w:val="365B0AED"/>
    <w:rsid w:val="397A48AC"/>
    <w:rsid w:val="3ECF2EEE"/>
    <w:rsid w:val="46CD040B"/>
    <w:rsid w:val="48260A1F"/>
    <w:rsid w:val="534440F4"/>
    <w:rsid w:val="5E013713"/>
    <w:rsid w:val="5F7C76E7"/>
    <w:rsid w:val="64464972"/>
    <w:rsid w:val="7416212F"/>
    <w:rsid w:val="752535A1"/>
    <w:rsid w:val="765161D6"/>
    <w:rsid w:val="790A2B73"/>
    <w:rsid w:val="7B0F7B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jc w:val="left"/>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before="200" w:beforeLines="200" w:beforeAutospacing="0" w:afterLines="0" w:afterAutospacing="0" w:line="620" w:lineRule="exact"/>
      <w:ind w:firstLine="632"/>
      <w:jc w:val="center"/>
      <w:outlineLvl w:val="0"/>
    </w:pPr>
    <w:rPr>
      <w:rFonts w:ascii="Calibri" w:hAnsi="Calibri" w:eastAsia="宋体"/>
      <w:kern w:val="44"/>
      <w:sz w:val="44"/>
    </w:rPr>
  </w:style>
  <w:style w:type="paragraph" w:styleId="4">
    <w:name w:val="heading 2"/>
    <w:basedOn w:val="1"/>
    <w:next w:val="5"/>
    <w:link w:val="11"/>
    <w:unhideWhenUsed/>
    <w:qFormat/>
    <w:uiPriority w:val="0"/>
    <w:pPr>
      <w:keepNext/>
      <w:keepLines/>
      <w:spacing w:before="100" w:beforeLines="100" w:beforeAutospacing="0" w:afterAutospacing="0" w:line="620" w:lineRule="exact"/>
      <w:ind w:left="632" w:leftChars="200" w:right="632" w:rightChars="200" w:firstLine="0" w:firstLineChars="0"/>
      <w:jc w:val="left"/>
      <w:outlineLvl w:val="1"/>
    </w:pPr>
    <w:rPr>
      <w:rFonts w:ascii="Arial" w:hAnsi="Arial" w:eastAsia="楷体_GB2312"/>
    </w:rPr>
  </w:style>
  <w:style w:type="paragraph" w:styleId="5">
    <w:name w:val="heading 3"/>
    <w:basedOn w:val="1"/>
    <w:next w:val="1"/>
    <w:link w:val="12"/>
    <w:unhideWhenUsed/>
    <w:qFormat/>
    <w:uiPriority w:val="0"/>
    <w:pPr>
      <w:keepNext/>
      <w:keepLines/>
      <w:spacing w:before="100" w:beforeLines="100" w:beforeAutospacing="0" w:after="100" w:afterLines="100" w:afterAutospacing="0" w:line="620" w:lineRule="exact"/>
      <w:ind w:firstLine="872"/>
      <w:jc w:val="center"/>
      <w:outlineLvl w:val="2"/>
    </w:pPr>
    <w:rPr>
      <w:rFonts w:eastAsia="黑体"/>
      <w:b/>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Title"/>
    <w:basedOn w:val="1"/>
    <w:qFormat/>
    <w:uiPriority w:val="0"/>
    <w:pPr>
      <w:spacing w:before="100" w:beforeLines="100" w:beforeAutospacing="0" w:after="100" w:afterLines="100" w:afterAutospacing="0" w:line="620" w:lineRule="exact"/>
      <w:ind w:firstLine="872"/>
      <w:jc w:val="center"/>
      <w:outlineLvl w:val="0"/>
    </w:pPr>
    <w:rPr>
      <w:rFonts w:ascii="Arial" w:hAnsi="Arial" w:eastAsia="黑体"/>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2 Char"/>
    <w:link w:val="4"/>
    <w:qFormat/>
    <w:uiPriority w:val="0"/>
    <w:rPr>
      <w:rFonts w:ascii="Arial" w:hAnsi="Arial" w:eastAsia="楷体_GB2312"/>
    </w:rPr>
  </w:style>
  <w:style w:type="character" w:customStyle="1" w:styleId="12">
    <w:name w:val="标题 3 Char"/>
    <w:link w:val="5"/>
    <w:qFormat/>
    <w:uiPriority w:val="0"/>
    <w:rPr>
      <w:rFonts w:eastAsia="黑体"/>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cp:lastPrinted>2017-02-27T03:24:00Z</cp:lastPrinted>
  <dcterms:modified xsi:type="dcterms:W3CDTF">2017-03-01T00:15:03Z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