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color w:val="000000"/>
          <w:sz w:val="32"/>
          <w:szCs w:val="32"/>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宋体" w:hAnsi="宋体" w:eastAsia="宋体" w:cs="宋体"/>
          <w:color w:val="000000"/>
          <w:sz w:val="32"/>
          <w:szCs w:val="32"/>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仿宋_GB2312" w:hAnsi="仿宋_GB2312" w:eastAsia="仿宋_GB2312" w:cs="仿宋_GB2312"/>
          <w:color w:val="000000"/>
          <w:sz w:val="32"/>
          <w:szCs w:val="32"/>
          <w:lang w:val="en-US" w:eastAsia="zh-CN"/>
        </w:rPr>
      </w:pPr>
      <w:r>
        <w:rPr>
          <w:rFonts w:hint="eastAsia" w:ascii="宋体" w:hAnsi="宋体" w:eastAsia="宋体" w:cs="宋体"/>
          <w:color w:val="000000"/>
          <w:sz w:val="44"/>
          <w:szCs w:val="44"/>
          <w:lang w:val="en-US" w:eastAsia="zh-CN"/>
        </w:rPr>
        <w:t>秀山土家族苗族自治县饮用水水源保护条例</w:t>
      </w:r>
    </w:p>
    <w:p>
      <w:pPr>
        <w:pStyle w:val="2"/>
        <w:rPr>
          <w:rFonts w:hint="eastAsia" w:ascii="宋体" w:hAnsi="宋体" w:eastAsia="宋体" w:cs="宋体"/>
          <w:sz w:val="32"/>
          <w:szCs w:val="32"/>
          <w:lang w:val="en-US" w:eastAsia="zh-CN"/>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default" w:ascii="Times New Roman" w:hAnsi="Times New Roman" w:eastAsia="楷体_GB2312" w:cs="Times New Roman"/>
          <w:i w:val="0"/>
          <w:caps w:val="0"/>
          <w:color w:val="000000"/>
          <w:spacing w:val="0"/>
          <w:sz w:val="32"/>
          <w:szCs w:val="32"/>
        </w:rPr>
      </w:pPr>
      <w:r>
        <w:rPr>
          <w:rFonts w:hint="default" w:ascii="Times New Roman" w:hAnsi="Times New Roman" w:eastAsia="楷体_GB2312" w:cs="Times New Roman"/>
          <w:i w:val="0"/>
          <w:caps w:val="0"/>
          <w:color w:val="000000"/>
          <w:spacing w:val="0"/>
          <w:kern w:val="0"/>
          <w:sz w:val="32"/>
          <w:szCs w:val="32"/>
          <w:lang w:val="en-US" w:eastAsia="zh-CN" w:bidi="ar"/>
        </w:rPr>
        <w:t>（2018年1月15日秀山土家族苗族自治县第十七届人民代表大会第二次会议通过，2018年3月29日重庆市第五届人民代表大会常务委员会第二次会议批准；根据2022年12月27日秀山土家族苗族自治县第十八届人民代表大会第二次会议《关于修改〈秀山土家族苗族自治县饮用水水源保护条例〉的决定》修正，2023年3月30日重庆市第六届人民代表大会常务委员会第一次会议批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宋体" w:hAnsi="宋体" w:eastAsia="宋体" w:cs="宋体"/>
          <w:i w:val="0"/>
          <w:caps w:val="0"/>
          <w:color w:val="000000"/>
          <w:spacing w:val="0"/>
          <w:sz w:val="32"/>
          <w:szCs w:val="32"/>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center"/>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kern w:val="0"/>
          <w:sz w:val="32"/>
          <w:szCs w:val="32"/>
          <w:lang w:val="en-US" w:eastAsia="zh-CN" w:bidi="ar"/>
        </w:rPr>
        <w:t>第二章　保护区和保护范围的划定</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kern w:val="0"/>
          <w:sz w:val="32"/>
          <w:szCs w:val="32"/>
          <w:lang w:val="en-US" w:eastAsia="zh-CN" w:bidi="ar"/>
        </w:rPr>
        <w:t>第三章　保护措施</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kern w:val="0"/>
          <w:sz w:val="32"/>
          <w:szCs w:val="32"/>
          <w:lang w:val="en-US" w:eastAsia="zh-CN" w:bidi="ar"/>
        </w:rPr>
        <w:t>第四章　监督管理</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楷体_GB2312" w:eastAsia="楷体_GB2312" w:cs="楷体_GB2312"/>
          <w:i w:val="0"/>
          <w:caps w:val="0"/>
          <w:color w:val="000000"/>
          <w:spacing w:val="0"/>
          <w:sz w:val="32"/>
          <w:szCs w:val="32"/>
        </w:rPr>
      </w:pPr>
      <w:r>
        <w:rPr>
          <w:rFonts w:hint="eastAsia" w:ascii="楷体_GB2312" w:hAnsi="楷体_GB2312" w:eastAsia="楷体_GB2312" w:cs="楷体_GB2312"/>
          <w:i w:val="0"/>
          <w:caps w:val="0"/>
          <w:color w:val="000000"/>
          <w:spacing w:val="0"/>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仿宋_GB2312" w:hAnsi="仿宋_GB2312" w:eastAsia="仿宋_GB2312" w:cs="仿宋_GB2312"/>
          <w:i w:val="0"/>
          <w:caps w:val="0"/>
          <w:color w:val="000000"/>
          <w:spacing w:val="0"/>
          <w:sz w:val="32"/>
          <w:szCs w:val="32"/>
        </w:rPr>
      </w:pPr>
      <w:r>
        <w:rPr>
          <w:rFonts w:hint="eastAsia" w:ascii="楷体_GB2312" w:hAnsi="楷体_GB2312" w:eastAsia="楷体_GB2312" w:cs="楷体_GB2312"/>
          <w:i w:val="0"/>
          <w:caps w:val="0"/>
          <w:color w:val="000000"/>
          <w:spacing w:val="0"/>
          <w:kern w:val="0"/>
          <w:sz w:val="32"/>
          <w:szCs w:val="32"/>
          <w:lang w:val="en-US" w:eastAsia="zh-CN" w:bidi="ar"/>
        </w:rPr>
        <w:t>第六章　附　　则</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200"/>
        <w:jc w:val="both"/>
        <w:textAlignment w:val="auto"/>
        <w:rPr>
          <w:rFonts w:hint="eastAsia" w:ascii="宋体" w:hAnsi="宋体" w:eastAsia="宋体" w:cs="宋体"/>
          <w:i w:val="0"/>
          <w:cap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为了加强饮用水水源保护，保障城乡居民饮用水安全，促进经济建设与生态文明建设协调发展，根据《中华人民共和国水污染防治法》、《中华人民共和国水法》、《重庆市水资源管理条例》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本条例适用于本自治县行政区域内饮用水水源保护及管理工作。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本条例所称饮用水水源，是指用于或者规划用于城乡集中式供水及农村分散式供水的河流、水库、山坪塘、泉井等地表水水源和地下水水源，包括备用饮用水水源。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前款所称集中式供水，是指由水源集中取水，经统一净化处理和消毒后，由输水管网送至用户的供水方式；农村分散式供水，是指农村分散居民直接从无任何设施或仅有简易设施的饮用水水源取水的方式。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自治县饮用水水源的保护，坚持科学规划、保护优先、公众参与、综合治理、确保安全、损害担责的原则。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对本行政区域内饮用水水源的水环境质量和饮用水安全负责，将饮用水水源保护纳入国民经济与社会发展规划、土地利用总体规划、城乡规划、水资源综合规划、生态环境保护规划和水污染防治规划，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（一）加大对饮用水水源保护投入，强化生态保护，合理布局和调整饮用水水源保护区的产业结构；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（二）全面实行河长制，构建责任明确、协调有序、监管严格、保护有力的饮用水水源保护制度；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（三）建立部门联动和区域联防联控协作机制，重点加强锰、硅等行业的环境综合整治，保障梅江河、溶溪河、酉水河、清水江等跨界断面出入境水质符合国家相关标准；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（四）加强对饮用水水源保护信息公开、应急处置、行政执法等的监督检查；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（五）法律、法规规定的其他饮用水水源保护职责。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自治县人民政府、乡镇人民政府、街道办事处应当将饮用水水源保护经费纳入本级财政预算。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自治县生态环境主管部门对饮用水水源污染防治实施统一监督管理，履行下列职责：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（一）会同有关部门提出集中式饮用水水源保护区和农村分散式饮用水水源保护范围划定的初步意见；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（二）编制饮用水水源污染防治规划，报经自治县人民政府批准后实施；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（三）指导、监督供水单位、有关部门和乡镇人民政府、街道办事处开展饮用水水源污染防治工作；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（四）会同水行政、卫生健康等部门建立饮用水资源、水环境监测体系，健全监测制度，统筹规划监测点建设；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（五）统一受理公民、法人和其他组织对污染饮用水水源行为的举报，依法查处污染饮用水水源的违法行为；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（六）法律、法规规定的其他饮用水水源保护职责。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自治县水行政主管部门履行下列职责：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（一）编制自治县饮用水水源规划并监督实施，会同自治县生态环境等部门拟定饮用水水源地的方案，因地制宜推进集中式供水；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（二）明确饮用水水源地保护责任主体及其工作职责，并向社会公开；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（三）调解自治县行政区域内饮用水水源水事纠纷，依法查处造成水土流失和侵占水域、滩地等涉水违法行为；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（四）指导、督促供水单位加强供水管网等供水设施的建设、维护等工作；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（五）法律、法规规定的其他饮用水水源保护职责。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自治县发展改革、财政、住房城乡建设、交通、农业农村、公安、规划自然资源、卫生健康、应急管理、林业、文化旅游、城市管理等有关部门，应当按照各自职责做好饮用水水源保护工作。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乡镇人民政府、街道办事处应当按照属地管理原则，加强监督管理，做好本辖区内饮用水水源保护工作。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村民委员会、居民委员会应当依法协助做好本辖区饮用水水源保护工作，结合本地实际，在村规民约或者居民公约中规定居民的义务，落实饮用水水源保护措施。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饮用水供水单位应当对供水水质负责，确保供水设施安全可靠运行，保证供水水质符合国家有关标准。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自治县人民政府、乡镇人民政府、街道办事处应当组织开展饮用水水源保护的宣传教育，提高公众参与饮用水水源保护的意识和能力。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自治县教育行政部门、学校应当将饮用水水源保护知识纳入学校教育内容，培养学生保护饮用水水源的意识。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新闻媒体应当开展饮用水水源保护的宣传和舆论监督。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任何单位和个人都有保护饮用水水源的义务，有权对破坏和污染饮用水水源的行为进行劝阻，有权向自治县生态环境主管部门举报。自治县人民政府及其有关部门应当保护举报人的合法权益；对实名举报的，应当将处理结果告知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自治县人民政府对在饮用水水源保护工作中取得显著成绩或者做出突出贡献的单位和个人，应当给予表彰和奖励。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第二章　保护区和保护范围的划定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自治县人民政府应当根据经济社会发展需要、水资源开发利用现状以及水污染防治规划，确定饮用水水源地，依法划定饮用水水源保护区。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集中式饮用水水源地应当划定保护区，农村分散式饮用水水源地应当划定保护范围。饮用水水源保护区分为一级保护区、二级保护区；必要时，可以划定准保护区。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自治县人民政府应当及时公布饮用水水源地、集中式饮用水水源保护区、农村分散式饮用水水源保护范围名录。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集中式饮用水水源保护区的确定、划分和调整，由自治县生态环境主管部门会同有关部门提出初步意见，由自治县人民政府确定方案并报市人民政府批准后实施。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农村分散式饮用水水源保护范围的确定、划分和调整，由自治县生态环境主管部门会同有关部门提出方案，报自治县人民政府批准，并报市生态环境主管部门备案。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河流型集中式饮用水水源保护区的划分标准：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（一）取水口上游一千米至下游一百米的整个水域及同等长度的洪水期正常水位河道边缘纵深各五十米的陆域，为一级保护区；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（二）取水口上游三千米、下游三百米水域及同等长度的河岸两侧纵深各一千米的陆域或者整个集雨区范围的陆域，除一级保护区外，为二级保护区；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（三）二级保护区边界外上溯五千米的水域及河岸两侧纵深各二百米至五百米的陆域为准保护区。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水库和山坪塘型集中式饮用水水源保护区的划分标准：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（一）取水口半径三百米范围内的整个水域，取水口侧正常水位线以上二百米、不超过集雨区范围的陆域，为一级保护区；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（二）一级保护区边界外的整个水域，小型水库、山坪塘上游除一级保护区外的整个流域，中型水库周边山脊线以内和入库河流上溯三千米的汇水区域，除一级保护区外，为二级保护区；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（三）二级保护区边界外上溯五千米的溪流，两侧纵深各二百米内的陆域，为准保护区。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地下水集中式饮用水水源保护区的划分标准：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（一）以取水口为圆心，半径一百米的圆形区域，为一级保护区；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（二）以取水口为圆心，半径一百米至一千米的环形区域，为二级保护区。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农村分散式饮用水水源保护范围的划分标准：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（一）水库和山坪塘型水源取水口半径不小于两百米范围的区域，但不超过集雨范围；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（二）河流型水源取水口上游不小于一千米，下游不小于一百米，两岸纵深不小于五十米，但不超过集雨范围；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（三）泉井及地下水源等，取水口周围不小于三十米。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自治县人民政府应当在饮用水水源保护区设立明显的地理界标、警示标志，可以根据需要设置视频监控设施。一级保护区必要时设置隔离防护设施，实行封闭式管理。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任何单位和个人不得损毁、涂改或者擅自移动饮用水水源保护区的地理界标、警示标志、隔离防护等设施。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在饮用水水源准保护区内，禁止下列行为：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（二）新建、扩建对水体污染严重的建设项目，改建增加排污量的建设项目；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（四）未按照规定采取防护性措施，利用无防渗漏措施的沟渠、坑塘等输送或者存贮含有毒污染物的废水、含病原体的污水和其他废弃物；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（五）向水体排放、倾倒油类、酸液、碱液、剧毒废液、放射性固体废物、含有高放射性和中放射性物质的废水，</w:t>
      </w:r>
      <w:bookmarkStart w:id="0" w:name="OLE_LINK3"/>
      <w:bookmarkEnd w:id="0"/>
      <w:bookmarkStart w:id="1" w:name="OLE_LINK2"/>
      <w:r>
        <w:rPr>
          <w:rFonts w:hint="eastAsia" w:ascii="仿宋_GB2312" w:hAnsi="仿宋_GB2312" w:eastAsia="仿宋_GB2312" w:cs="仿宋_GB2312"/>
          <w:sz w:val="32"/>
          <w:szCs w:val="32"/>
          <w:lang w:val="en-US" w:eastAsia="zh-CN"/>
        </w:rPr>
        <w:t>或者将含有汞、镉、砷、铬、铅、氰化物、黄磷等的可溶性剧毒废渣向水体排放、倾倒或者直接埋入地下</w:t>
      </w:r>
      <w:bookmarkEnd w:id="1"/>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六）向水体排放、倾倒工业废渣、城镇垃圾或者其他废弃物，或者在河流、水库、渠道最高水位以下的滩地、岸坡堆放、存贮固体废弃物或者其他污染物，或者违反国家有关规定或者标准，向水体排放、倾倒含有低放射性物质的废水、热废水、含病原体的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（七）在水体清洗装贮过油类或者有毒污染物的船舶、车辆和容器；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（八）使用炸鱼、毒鱼、电鱼等破坏渔业资源的方法进行捕捞，或者从事其他非法捕捞行为；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（九）非更新性、非抚育性砍伐和其他破坏饮用水水源涵养林、护岸林及其他植被的行为；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（十）进行可能严重影响饮用水水源水质的矿产勘查、开采等活动；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（十一）法律、法规规定的其他可能污染饮用水水体的行为。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在饮用水水源二级保护区内，除本条例第十八条禁止的行为外，还禁止下列行为：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（二）从事泊船、经营性取土、采矿、采砂、采石等活动；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（三）建设畜禽养殖场、养殖小区、屠宰场；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（四）修建墓地，丢弃或者掩埋动物尸体；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（五）设置水上经营性餐饮、娱乐设施和存放有毒有害物品的仓库、货栈；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（六）使用农药、丢弃农药及农药包装物或者清洗施药器械。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饮用水水源二级保护区内已建成的排放污染物的建设项目，由自治县人民政府责令拆除或者关闭。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在饮用水水源二级保护区内从事网箱养殖、旅游等活动的，应当按照规定采取措施，防止污染饮用水水体。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在饮用水水源一级保护区内，除本条例第十八条、第十九条禁止的行为外，还禁止下列行为：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（二）使用化肥、含磷洗涤剂以及其他可能污染饮用水水体的化学品；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（三）放养畜禽；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（五）开发旅游景区。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饮用水水源一级保护区内已建成的与供水设施和保护水源无关的建设项目，由自治县人民政府责令拆除或者关闭。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在农村分散式饮用水水源保护范围内，禁止下列行为：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（一）新建厕所、化粪池；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（二）设立粪便、生活垃圾的收集、转运站，堆放医疗垃圾，设立有毒有害化学品仓库、堆栈；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（三）施用高残留、高毒农药；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（四）从事规模畜禽养殖、网箱网栏养殖；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（五）排放工业污水；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（六）修建墓地、丢弃及掩埋动物尸体、设置肥料堆积场等其他污染饮用水水体的行为。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从事地质钻探、隧道挖掘、地下施工、地下勘探等活动，必须采取防护措施，防止破坏和污染地下饮用水水源。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报废矿井、钻井或者取水井等，应当实施封井或者回填。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锰、硅等矿山开采企业应当按照规定采取防渗漏等措施，妥善处置尾矿及废渣、废水，防止污染饮用水水体。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锰、硅等冶炼企业应当改进生产工艺，采取防水、防渗漏、防流失等措施，妥善处置尾矿废渣库，严防矿渣中的重金属污染饮用水水体。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禁止利用无防渗漏措施的沟渠、坑塘等输送或者存贮含有毒污染物的废水、含病原体的污水或者其他废弃物。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自治县生态环境主管部门应当会同有关部门，加强对本条第一款、第二款所列企业履行有关义务的业务指导和监督检查。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自治县人民政府及其有关部门、乡镇人民政府、街道办事处应当完善农村环境综合治理长效机制，合理规划建设污水、垃圾处理设施，并保障其正常运行，保护和改善饮用水水源环境质量。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饮用水水源保护区应当划定为畜禽禁养区。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供水单位应当逐步减少明渠输送饮用水原水，建立健全供水设备维护责任制，加强供水管网以及相关设施的建设和养护管理，防止饮用水传输过程中形成二次污染。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自治县城市管理、卫生健康、水行政等部门应当按照职责分工，加强城乡二次供水管理工作，保证二次供水水质符合国家生活饮用水卫生标准。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新建、改建、扩建饮用水水源工程应当符合水资源综合规划、水功能区划，编制建设项目水资源论证报告书，依法办理取水许可手续，由自治县人民政府向社会公布，并报市人民政府水行政部门备案。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自治县人民政府应当根据实际需要规划、建设城乡备用饮用水水源，完善备用饮用水水源供水系统和管网，加强备用饮用水水源地的管理与保护，保障应急状态下的饮用水供应。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自治县人民政府应当加强饮用水水源保护区及相关流域、区域生态建设，加强水源涵养林、护岸林和人工湿地等生态保护工程建设。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根据饮用水水源保护实际需要，逐步对饮用水水源保护区内的单位和居民实施搬迁。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建立健全自治县饮用水水源保护区域的生态补偿机制，促进饮用水水源保护区和其他地区协调发展。生态补偿的具体办法由自治县人民政府另行制定。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自治县人民政府应当建立饮用水水源水质监测预警系统和饮用水水源水量、水质信息管理数据库，实现各部门、公共供水企业信息数据共享。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生态环境、卫生健康、水行政等部门应当加强饮用水的监测能力建设，合理布局监测网点，建立监测档案，严格按照相关规定定期对饮用水水质进行监测，保证饮用水水质不低于国家规定的标准。饮用水水质、水量及安全状况等信息应当定期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供水单位应当建立健全水质检测报告制度，严格按照相关规定定期对水源水、出厂水、管网末梢水进行检测，并向自治县水行政、卫生健康部门报送检测结果，其中水源水质检测不合格的，应当同时报送自治县生态环境主管部门和水源地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自治县人民政府应当组织编制饮用水水源污染事故应急处置预案。重点水污染物排放单位、供水单位应当编制本单位饮用水水源污染事故的应急方案，报自治县生态环境主管部门备案，并做好应急准备和演练。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突发事件造成或者可能造成饮用水水源污染事故的，责任单位应当启动应急预案，采取应急措施，并及时报告自治县生态环境主管部门。生态环境主管部门接到报告后，应当立即报告自治县人民政府，并通报相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突发事件造成或者可能造成饮用水水源污染事故的，自治县人民政府应当视情况启动应急预案，采取控制或者切断污染源等有效措施，组织相关部门做好应急供水准备。饮用水水源污染事故跨行政区域的，应当及时将有关情况通报下游有关县级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饮用水水源污染事故及其应急处置工作的信息发布，由自治县人民政府按照《中华人民共和国突发事件应对法》有关规定执行。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饮用水水源地管理单位、供水单位应当按照各自职责建立巡查制度，定期对饮用水水源保护区以及相关设施进行巡查；乡镇人民政府、街道办事处应当组织和指导村民委员会、居民委员会开展饮用水水源保护常态化巡查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对巡查中发现本条例规定的禁止行为或者可能造成饮用水水源污染的其他行为，应当进行劝阻和制止；劝阻和制止无效的，应当及时向自治县生态环境主管部门报告。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自治县生态环境、水行政等部门应当对钟灵水库、隘口水库、梅江河、酉水河等城乡重点饮用水水源保护区进行定期巡查，并督促乡镇人民政府、街道办事处、饮用水水源地管理单位、供水单位落实好饮用水水源保护巡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自治县生态环境主管部门应当建立饮用水水源保护举报制度，公开举报方式，及时受理单位和个人对污染、损害饮用水水源行为的举报，并按下列情形分别予以处理：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（一）涉嫌违法且本部门有管辖权的，应当依法立案查处；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（二）发现不属于本部门管辖的，应当先行制止污染饮用水水体的行为，并按照“谁主管、谁负责”的原则或者有关法律法规的规定，及时移送有管辖权的部门处理；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（三）涉嫌违法应当责令停产整顿、责令停业、关闭的，应当立案调查，提出处理建议报自治县人民政府；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（四）涉嫌违法依法应当实施行政拘留的，移送公安机关；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（五）涉嫌犯罪的，按照《行政执法机关移送涉嫌犯罪案件的规定》等有关规定移送司法机关。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按照前款第二项规定移送管辖，受移送的部门对管辖权有异议的，不得再自行移送，应当报请自治县人民政府法制工作机构协调；协调不能取得一致意见的，由自治县人民政府法制工作机构提出意见，报自治县人民政府指定管辖；自治县人民政府无权决定的，报请有决定权的机关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自治县人民政府应当定期向社会公开饮用水水源保护情况，并将饮用水水源保护工作列入环境保护年度工作报告的重要内容，每年向自治县人民代表大会或者其常务委员会报告一次。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十七条第二款规定，损毁、涂改或者擅自移动饮用水水源保护区的地理界标、警示标志、隔离防护等设施的，由自治县生态环境主管部门责令恢复原状，对个人处二千元以上五千元以下的罚款，对单位处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十八条第一项规定设置排污口的，由自治县生态环境主管部门报经自治县人民政府批准，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十八条第二项、第十九条第一项、第二十条第一项规定，在饮用水水源准保护区内新建、扩建对水体污染严重的建设项目或者改建增加排污量的建设项目，在饮用水水源二级保护区内新建、改建、扩建排放污染物的建设项目，在饮用水水源一级保护区内新建、改建、扩建与供水设施和保护水源无关的建设项目的，由自治县生态环境主管部门责令停止违法行为，处十万元以上五十万元以下的罚款；并报经自治县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十八条第三项规定，利用渗井、渗坑、裂隙、溶洞，私设暗管，篡改、伪造监测数据，或者不正常运行水污染防治设施等逃避监管的方式排放水污染物的，由自治县生态环境主管部门责令改正或者责令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企业事业单位和其他生产经营者有前款行为，造成饮用水污染事故，尚不构成犯罪的，除依照前款规定予以处罚外，由公安机关依法对其直接负责的主管人员和其他直接责任人员予以处罚。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十八条有关规定，有下列行为之一的，由自治县生态环境主管部门责令停止违法行为，限期采取治理措施，消除污染，处以罚款；逾期不采取治理措施的，生态环境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（一）未按照规定采取防护性措施，利用无防渗漏措施的沟渠、坑塘等输送或者存贮含有毒污染物的废水、含病原体的污水和其他废弃物的；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向水体排放、倾倒油类、酸液、碱液、剧毒废液、放射性固体废物、含有高放射性和中放射性物质的废水，或者将含有汞、镉、砷、铬、铅、氰化物、黄磷等的可溶性剧毒废渣向水体排放、倾倒或者直接埋入地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向水体排放、倾倒工业废渣、城镇垃圾或者其他废弃物，或者在河流、水库、渠道最高水位以下的滩地、岸坡堆放、存贮固体废弃物或者其他污染物，或者违反国家有关规定或者标准，向水体排放、倾倒含有低放射性物质的废水、热废水、含病原体的污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（四）在水体清洗装贮过油类或者有毒污染物的船舶、车辆和容器的。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有前款第三项、第四项行为之一的，处二万元以上二十万元以下的罚款。有前款第一项、第二项行为之一的，处十万元以上一百万元以下的罚款；情节严重的，报经有批准权的人民政府批准，责令停业、关闭。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十九条第五项规定，设置水上经营性餐饮、娱乐设施和存放有毒有害物品的仓库、货栈的，由自治县生态环境主管部门责令停止违法行为，对单位处二万元以上十万元以下的罚款，对个人可以处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十九条第六项规定，在饮用水水源保护区内使用农药、丢弃农药及农药包装物或者清洗施药器械的，由自治县农业农村主管部门责令改正，农药使用者为农产品生产企业、食品和食用农产品仓储企业、专业化病虫害防治服务组织和从事农产品生产的农民专业合作社等单位的，处五万元以上十万元以下的罚款，农药使用者为个人的，处一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第四十一条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二十条第四项规定，在饮用水水源一级保护区内从事网箱养殖或者组织进行旅游、垂钓或者其他可能污染饮用水水体的活动的，由自治县生态环境主管部门责令停止违法行为，处二万元以上十万元以下的罚款。个人在饮用水水源一级保护区内游泳、垂钓或者从事其他可能污染饮用水水体的活动的，由自治县生态环境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第四十二条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本条例第二十三条所列企业未按照规定采取防护性措施，或者利用无防渗漏措施的沟渠、坑塘等输送或者存贮含有毒污染物的废水、含病原体的污水或者其他废弃物的，由自治县生态环境主管部门责令停止违法行为，限期采取治理措施，消除污染，处十万元以上一百万元以下的罚款；逾期不采取治理措施的，生态环境主管部门可以指定有治理能力的单位代为治理，所需费用由违法者承担；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第四十三条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第十九条第三项有关规定，在饮用水水源保护区建设畜禽养殖场、养殖小区的，由自治县生态环境主管部门责令停止违法行为，处十万元以上五十万元以下的罚款，并报经自治县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前款所称的畜禽养殖场、养殖小区是指达到市人民政府确定的养殖规模标准的畜禽集中饲养场所。未达到市人民政府确定的养殖规模标准的畜禽养殖，由自治县农业农村主管部门责令关闭、搬迁。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第四十四条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相关重点水污染物排放单位、供水单位违反本条例第三十条有关规定，有下列行为之一的，由自治县生态环境主管部门责令改正；情节严重的，处二万元以上十万元以下的罚款：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（一）不按照规定制定饮用水水源污染事故的应急方案的；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（二）饮用水水源污染事故发生后，未及时启动饮用水水源污染事故的应急方案，采取有关应急措施的。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第四十五条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违反本条例规定，在饮用水水源一级、二级保护区、准保护区内从事其他污染饮用水水源活动的，由自治县生态环境主管部门责令停止违法行为，对单位处二万元以上十万元以下的罚款，对个人可以处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第四十六条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有本条例第二十一条所列行为之一的，由当地乡镇人民政府、街道办事处责令限期改正或者采取补救措施；逾期不履行的，对个人处二百元以上五百元以下的罚款，对单位处五千元以上二万元以下的罚款。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第四十七条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饮用水供水单位供水水质不符合国家规定标准的，由自治县供水主管部门责令改正，处二万元以上二十万元以下的罚款；情节严重的，报经有批准权的人民政府批准，可以责令停业整顿；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第四十八条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自治县生态环境主管部门或者其他依照本条例规定行使监督管理权的部门，不依法作出行政许可或者办理批准文件的，发现违法行为或者接到对违法行为的举报后不予查处的，或者有其他未依照本条例规定履行职责的行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第四十九条</w:t>
      </w:r>
      <w:r>
        <w:rPr>
          <w:rFonts w:hint="eastAsia" w:ascii="仿宋_GB2312" w:hAnsi="仿宋_GB2312" w:cs="仿宋_GB2312"/>
          <w:sz w:val="32"/>
          <w:szCs w:val="32"/>
          <w:lang w:val="en-US" w:eastAsia="zh-CN"/>
        </w:rPr>
        <w:t>　</w:t>
      </w:r>
      <w:r>
        <w:rPr>
          <w:rFonts w:hint="eastAsia" w:ascii="仿宋_GB2312" w:hAnsi="仿宋_GB2312" w:eastAsia="仿宋_GB2312" w:cs="仿宋_GB2312"/>
          <w:sz w:val="32"/>
          <w:szCs w:val="32"/>
          <w:lang w:val="en-US" w:eastAsia="zh-CN"/>
        </w:rPr>
        <w:t>本条例</w:t>
      </w:r>
      <w:r>
        <w:rPr>
          <w:rFonts w:hint="default" w:ascii="Times New Roman" w:hAnsi="Times New Roman" w:eastAsia="仿宋_GB2312" w:cs="Times New Roman"/>
          <w:sz w:val="32"/>
          <w:szCs w:val="32"/>
          <w:lang w:val="en-US" w:eastAsia="zh-CN"/>
        </w:rPr>
        <w:t>自2018年7月1日</w:t>
      </w:r>
      <w:r>
        <w:rPr>
          <w:rFonts w:hint="eastAsia" w:ascii="仿宋_GB2312" w:hAnsi="仿宋_GB2312" w:eastAsia="仿宋_GB2312" w:cs="仿宋_GB2312"/>
          <w:sz w:val="32"/>
          <w:szCs w:val="32"/>
          <w:lang w:val="en-US" w:eastAsia="zh-CN"/>
        </w:rPr>
        <w:t>起施行。</w:t>
      </w:r>
      <w:bookmarkStart w:id="2" w:name="_GoBack"/>
      <w:bookmarkEnd w:id="2"/>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 w:name="CESI楷体-GB2312">
    <w:altName w:val="楷体_GB2312"/>
    <w:panose1 w:val="02000500000000000000"/>
    <w:charset w:val="86"/>
    <w:family w:val="auto"/>
    <w:pitch w:val="default"/>
    <w:sig w:usb0="00000000" w:usb1="00000000" w:usb2="00000012" w:usb3="00000000" w:csb0="0004000F" w:csb1="0000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A0C3321"/>
    <w:rsid w:val="0AB94B2B"/>
    <w:rsid w:val="0D6D59C4"/>
    <w:rsid w:val="0D9804AC"/>
    <w:rsid w:val="23691BCC"/>
    <w:rsid w:val="2E8A4B45"/>
    <w:rsid w:val="2E8C1CE8"/>
    <w:rsid w:val="3172765E"/>
    <w:rsid w:val="346D235F"/>
    <w:rsid w:val="350B11A5"/>
    <w:rsid w:val="38512365"/>
    <w:rsid w:val="39683767"/>
    <w:rsid w:val="3DE63740"/>
    <w:rsid w:val="444D40D2"/>
    <w:rsid w:val="45933E22"/>
    <w:rsid w:val="45CA5863"/>
    <w:rsid w:val="46F47B69"/>
    <w:rsid w:val="481351D2"/>
    <w:rsid w:val="4F314DBC"/>
    <w:rsid w:val="53543565"/>
    <w:rsid w:val="558A062C"/>
    <w:rsid w:val="5BC029D3"/>
    <w:rsid w:val="5C3D0AD3"/>
    <w:rsid w:val="5F092B01"/>
    <w:rsid w:val="5FEC6B22"/>
    <w:rsid w:val="622F12CF"/>
    <w:rsid w:val="6A486BD3"/>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sz w:val="28"/>
      <w:szCs w:val="20"/>
    </w:rPr>
  </w:style>
  <w:style w:type="paragraph" w:styleId="3">
    <w:name w:val="Date"/>
    <w:basedOn w:val="1"/>
    <w:next w:val="1"/>
    <w:qFormat/>
    <w:uiPriority w:val="0"/>
    <w:pPr>
      <w:ind w:left="100" w:leftChars="25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 w:type="paragraph" w:customStyle="1" w:styleId="12">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3">
    <w:name w:val="页脚1"/>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9299</Words>
  <Characters>9319</Characters>
  <Lines>1</Lines>
  <Paragraphs>1</Paragraphs>
  <TotalTime>8</TotalTime>
  <ScaleCrop>false</ScaleCrop>
  <LinksUpToDate>false</LinksUpToDate>
  <CharactersWithSpaces>9390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2023-08-30T03:10:23Z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