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adjustRightInd/>
        <w:snapToGrid/>
        <w:spacing w:line="560" w:lineRule="exact"/>
        <w:jc w:val="center"/>
        <w:rPr>
          <w:rFonts w:hint="eastAsia" w:asciiTheme="minorEastAsia" w:hAnsiTheme="minorEastAsia" w:eastAsiaTheme="minorEastAsia" w:cstheme="minorEastAsia"/>
          <w:color w:val="000000"/>
          <w:sz w:val="32"/>
          <w:szCs w:val="32"/>
        </w:rPr>
      </w:pPr>
    </w:p>
    <w:p>
      <w:pPr>
        <w:keepNext w:val="0"/>
        <w:keepLines w:val="0"/>
        <w:pageBreakBefore w:val="0"/>
        <w:widowControl w:val="0"/>
        <w:kinsoku/>
        <w:overflowPunct/>
        <w:topLinePunct w:val="0"/>
        <w:autoSpaceDE/>
        <w:autoSpaceDN/>
        <w:bidi w:val="0"/>
        <w:adjustRightInd/>
        <w:snapToGrid/>
        <w:spacing w:line="560" w:lineRule="exact"/>
        <w:jc w:val="center"/>
        <w:rPr>
          <w:rFonts w:hint="eastAsia" w:asciiTheme="minorEastAsia" w:hAnsiTheme="minorEastAsia" w:eastAsiaTheme="minorEastAsia" w:cstheme="minorEastAsia"/>
          <w:color w:val="000000"/>
          <w:sz w:val="32"/>
          <w:szCs w:val="32"/>
        </w:rPr>
      </w:pPr>
    </w:p>
    <w:p>
      <w:pPr>
        <w:keepNext w:val="0"/>
        <w:keepLines w:val="0"/>
        <w:pageBreakBefore w:val="0"/>
        <w:widowControl w:val="0"/>
        <w:kinsoku/>
        <w:overflowPunct/>
        <w:topLinePunct w:val="0"/>
        <w:autoSpaceDE/>
        <w:autoSpaceDN/>
        <w:bidi w:val="0"/>
        <w:adjustRightInd/>
        <w:snapToGrid/>
        <w:spacing w:line="560" w:lineRule="exact"/>
        <w:jc w:val="center"/>
        <w:rPr>
          <w:rFonts w:hint="eastAsia" w:asciiTheme="minorEastAsia" w:hAnsiTheme="minorEastAsia" w:eastAsiaTheme="minorEastAsia" w:cstheme="minorEastAsia"/>
          <w:color w:val="000000"/>
          <w:sz w:val="44"/>
          <w:szCs w:val="44"/>
        </w:rPr>
      </w:pPr>
      <w:r>
        <w:rPr>
          <w:rFonts w:hint="eastAsia" w:asciiTheme="minorEastAsia" w:hAnsiTheme="minorEastAsia" w:eastAsiaTheme="minorEastAsia" w:cstheme="minorEastAsia"/>
          <w:color w:val="000000"/>
          <w:sz w:val="44"/>
          <w:szCs w:val="44"/>
        </w:rPr>
        <w:t>秦皇岛市山海关古城保护条例</w:t>
      </w:r>
    </w:p>
    <w:p>
      <w:pPr>
        <w:keepNext w:val="0"/>
        <w:keepLines w:val="0"/>
        <w:pageBreakBefore w:val="0"/>
        <w:widowControl w:val="0"/>
        <w:kinsoku/>
        <w:overflowPunct/>
        <w:topLinePunct w:val="0"/>
        <w:autoSpaceDE/>
        <w:autoSpaceDN/>
        <w:bidi w:val="0"/>
        <w:adjustRightInd/>
        <w:snapToGrid/>
        <w:spacing w:line="560" w:lineRule="exact"/>
        <w:jc w:val="center"/>
        <w:rPr>
          <w:rFonts w:ascii="方正小标宋简体" w:eastAsia="方正小标宋简体"/>
          <w:color w:val="000000"/>
          <w:sz w:val="32"/>
          <w:szCs w:val="32"/>
        </w:rPr>
      </w:pPr>
    </w:p>
    <w:p>
      <w:pPr>
        <w:keepNext w:val="0"/>
        <w:keepLines w:val="0"/>
        <w:pageBreakBefore w:val="0"/>
        <w:widowControl w:val="0"/>
        <w:kinsoku/>
        <w:wordWrap w:val="0"/>
        <w:overflowPunct/>
        <w:topLinePunct w:val="0"/>
        <w:autoSpaceDE/>
        <w:autoSpaceDN/>
        <w:bidi w:val="0"/>
        <w:adjustRightInd/>
        <w:snapToGrid/>
        <w:spacing w:line="560" w:lineRule="exact"/>
        <w:ind w:firstLine="624" w:firstLineChars="200"/>
        <w:textAlignment w:val="auto"/>
        <w:rPr>
          <w:rFonts w:hint="eastAsia" w:ascii="楷体_GB2312" w:eastAsia="楷体_GB2312" w:cs="仿宋_GB2312"/>
          <w:snapToGrid w:val="0"/>
          <w:sz w:val="32"/>
          <w:szCs w:val="32"/>
          <w:lang w:bidi="ar-SA"/>
        </w:rPr>
      </w:pPr>
      <w:r>
        <w:rPr>
          <w:rFonts w:hint="eastAsia" w:ascii="楷体_GB2312" w:eastAsia="楷体_GB2312" w:cs="仿宋"/>
          <w:sz w:val="32"/>
          <w:szCs w:val="32"/>
          <w:lang w:bidi="ar-SA"/>
        </w:rPr>
        <w:t>（</w:t>
      </w:r>
      <w:r>
        <w:rPr>
          <w:rFonts w:hint="eastAsia" w:ascii="楷体_GB2312" w:eastAsia="楷体_GB2312" w:cs="仿宋_GB2312"/>
          <w:snapToGrid w:val="0"/>
          <w:sz w:val="32"/>
          <w:szCs w:val="32"/>
          <w:lang w:bidi="ar-SA"/>
        </w:rPr>
        <w:t>202</w:t>
      </w:r>
      <w:r>
        <w:rPr>
          <w:rFonts w:ascii="楷体_GB2312" w:eastAsia="楷体_GB2312" w:cs="仿宋_GB2312"/>
          <w:snapToGrid w:val="0"/>
          <w:sz w:val="32"/>
          <w:szCs w:val="32"/>
          <w:lang w:bidi="ar-SA"/>
        </w:rPr>
        <w:t>2</w:t>
      </w:r>
      <w:r>
        <w:rPr>
          <w:rFonts w:hint="eastAsia" w:ascii="楷体_GB2312" w:eastAsia="楷体_GB2312" w:cs="仿宋_GB2312"/>
          <w:snapToGrid w:val="0"/>
          <w:sz w:val="32"/>
          <w:szCs w:val="32"/>
          <w:lang w:bidi="ar-SA"/>
        </w:rPr>
        <w:t>年</w:t>
      </w:r>
      <w:r>
        <w:rPr>
          <w:rFonts w:ascii="楷体_GB2312" w:eastAsia="楷体_GB2312" w:cs="仿宋_GB2312"/>
          <w:snapToGrid w:val="0"/>
          <w:sz w:val="32"/>
          <w:szCs w:val="32"/>
          <w:lang w:bidi="ar-SA"/>
        </w:rPr>
        <w:t>6</w:t>
      </w:r>
      <w:r>
        <w:rPr>
          <w:rFonts w:hint="eastAsia" w:ascii="楷体_GB2312" w:eastAsia="楷体_GB2312" w:cs="仿宋_GB2312"/>
          <w:snapToGrid w:val="0"/>
          <w:sz w:val="32"/>
          <w:szCs w:val="32"/>
          <w:lang w:bidi="ar-SA"/>
        </w:rPr>
        <w:t>月</w:t>
      </w:r>
      <w:r>
        <w:rPr>
          <w:rFonts w:ascii="楷体_GB2312" w:eastAsia="楷体_GB2312" w:cs="仿宋_GB2312"/>
          <w:snapToGrid w:val="0"/>
          <w:sz w:val="32"/>
          <w:szCs w:val="32"/>
          <w:lang w:bidi="ar-SA"/>
        </w:rPr>
        <w:t>17</w:t>
      </w:r>
      <w:r>
        <w:rPr>
          <w:rFonts w:hint="eastAsia" w:ascii="楷体_GB2312" w:eastAsia="楷体_GB2312" w:cs="仿宋_GB2312"/>
          <w:snapToGrid w:val="0"/>
          <w:sz w:val="32"/>
          <w:szCs w:val="32"/>
          <w:lang w:bidi="ar-SA"/>
        </w:rPr>
        <w:t>日秦皇岛市第十</w:t>
      </w:r>
      <w:r>
        <w:rPr>
          <w:rFonts w:ascii="楷体_GB2312" w:eastAsia="楷体_GB2312" w:cs="仿宋_GB2312"/>
          <w:snapToGrid w:val="0"/>
          <w:sz w:val="32"/>
          <w:szCs w:val="32"/>
          <w:lang w:bidi="ar-SA"/>
        </w:rPr>
        <w:t>五</w:t>
      </w:r>
      <w:r>
        <w:rPr>
          <w:rFonts w:hint="eastAsia" w:ascii="楷体_GB2312" w:eastAsia="楷体_GB2312" w:cs="仿宋_GB2312"/>
          <w:snapToGrid w:val="0"/>
          <w:sz w:val="32"/>
          <w:szCs w:val="32"/>
          <w:lang w:bidi="ar-SA"/>
        </w:rPr>
        <w:t>届人民代表大会常务</w:t>
      </w:r>
    </w:p>
    <w:p>
      <w:pPr>
        <w:keepNext w:val="0"/>
        <w:keepLines w:val="0"/>
        <w:pageBreakBefore w:val="0"/>
        <w:widowControl w:val="0"/>
        <w:kinsoku/>
        <w:wordWrap w:val="0"/>
        <w:overflowPunct/>
        <w:topLinePunct w:val="0"/>
        <w:autoSpaceDE/>
        <w:autoSpaceDN/>
        <w:bidi w:val="0"/>
        <w:adjustRightInd/>
        <w:snapToGrid/>
        <w:spacing w:line="560" w:lineRule="exact"/>
        <w:ind w:firstLine="624" w:firstLineChars="200"/>
        <w:textAlignment w:val="auto"/>
        <w:rPr>
          <w:rFonts w:hint="eastAsia" w:ascii="楷体_GB2312" w:eastAsia="楷体_GB2312"/>
          <w:sz w:val="32"/>
          <w:szCs w:val="32"/>
          <w:lang w:eastAsia="zh-CN"/>
        </w:rPr>
      </w:pPr>
      <w:r>
        <w:rPr>
          <w:rFonts w:hint="eastAsia" w:ascii="楷体_GB2312" w:eastAsia="楷体_GB2312" w:cs="仿宋_GB2312"/>
          <w:snapToGrid w:val="0"/>
          <w:sz w:val="32"/>
          <w:szCs w:val="32"/>
          <w:lang w:bidi="ar-SA"/>
        </w:rPr>
        <w:t>委员会第</w:t>
      </w:r>
      <w:r>
        <w:rPr>
          <w:rFonts w:ascii="楷体_GB2312" w:eastAsia="楷体_GB2312" w:cs="仿宋_GB2312"/>
          <w:snapToGrid w:val="0"/>
          <w:sz w:val="32"/>
          <w:szCs w:val="32"/>
          <w:lang w:bidi="ar-SA"/>
        </w:rPr>
        <w:t>九</w:t>
      </w:r>
      <w:r>
        <w:rPr>
          <w:rFonts w:hint="eastAsia" w:ascii="楷体_GB2312" w:eastAsia="楷体_GB2312" w:cs="仿宋_GB2312"/>
          <w:snapToGrid w:val="0"/>
          <w:sz w:val="32"/>
          <w:szCs w:val="32"/>
          <w:lang w:bidi="ar-SA"/>
        </w:rPr>
        <w:t>次会议通过</w:t>
      </w:r>
      <w:r>
        <w:rPr>
          <w:rFonts w:hint="eastAsia" w:ascii="楷体_GB2312" w:eastAsia="楷体_GB2312" w:cs="仿宋"/>
          <w:sz w:val="32"/>
          <w:szCs w:val="32"/>
          <w:lang w:bidi="ar-SA"/>
        </w:rPr>
        <w:t xml:space="preserve">  </w:t>
      </w:r>
      <w:r>
        <w:rPr>
          <w:rFonts w:hint="eastAsia" w:ascii="楷体_GB2312" w:eastAsia="楷体_GB2312" w:cs="仿宋_GB2312"/>
          <w:snapToGrid w:val="0"/>
          <w:sz w:val="32"/>
          <w:szCs w:val="32"/>
          <w:lang w:bidi="ar-SA"/>
        </w:rPr>
        <w:t>202</w:t>
      </w:r>
      <w:r>
        <w:rPr>
          <w:rFonts w:ascii="楷体_GB2312" w:eastAsia="楷体_GB2312" w:cs="仿宋_GB2312"/>
          <w:snapToGrid w:val="0"/>
          <w:sz w:val="32"/>
          <w:szCs w:val="32"/>
          <w:lang w:bidi="ar-SA"/>
        </w:rPr>
        <w:t>2</w:t>
      </w:r>
      <w:r>
        <w:rPr>
          <w:rFonts w:hint="eastAsia" w:ascii="楷体_GB2312" w:eastAsia="楷体_GB2312" w:cs="仿宋_GB2312"/>
          <w:snapToGrid w:val="0"/>
          <w:sz w:val="32"/>
          <w:szCs w:val="32"/>
          <w:lang w:bidi="ar-SA"/>
        </w:rPr>
        <w:t>年</w:t>
      </w:r>
      <w:r>
        <w:rPr>
          <w:rFonts w:ascii="楷体_GB2312" w:eastAsia="楷体_GB2312" w:cs="仿宋_GB2312"/>
          <w:snapToGrid w:val="0"/>
          <w:sz w:val="32"/>
          <w:szCs w:val="32"/>
          <w:lang w:bidi="ar-SA"/>
        </w:rPr>
        <w:t>7</w:t>
      </w:r>
      <w:r>
        <w:rPr>
          <w:rFonts w:hint="eastAsia" w:ascii="楷体_GB2312" w:eastAsia="楷体_GB2312" w:cs="仿宋_GB2312"/>
          <w:snapToGrid w:val="0"/>
          <w:sz w:val="32"/>
          <w:szCs w:val="32"/>
          <w:lang w:bidi="ar-SA"/>
        </w:rPr>
        <w:t>月</w:t>
      </w:r>
      <w:r>
        <w:rPr>
          <w:rFonts w:ascii="楷体_GB2312" w:eastAsia="楷体_GB2312" w:cs="仿宋_GB2312"/>
          <w:snapToGrid w:val="0"/>
          <w:sz w:val="32"/>
          <w:szCs w:val="32"/>
          <w:lang w:bidi="ar-SA"/>
        </w:rPr>
        <w:t>28</w:t>
      </w:r>
      <w:r>
        <w:rPr>
          <w:rFonts w:hint="eastAsia" w:ascii="楷体_GB2312" w:eastAsia="楷体_GB2312" w:cs="仿宋_GB2312"/>
          <w:snapToGrid w:val="0"/>
          <w:sz w:val="32"/>
          <w:szCs w:val="32"/>
          <w:lang w:bidi="ar-SA"/>
        </w:rPr>
        <w:t>日</w:t>
      </w:r>
      <w:r>
        <w:rPr>
          <w:rFonts w:hint="eastAsia" w:ascii="楷体_GB2312" w:eastAsia="楷体_GB2312"/>
          <w:sz w:val="32"/>
          <w:szCs w:val="32"/>
        </w:rPr>
        <w:t>河北省第十</w:t>
      </w:r>
      <w:r>
        <w:rPr>
          <w:rFonts w:hint="eastAsia" w:ascii="楷体_GB2312" w:eastAsia="楷体_GB2312"/>
          <w:sz w:val="32"/>
          <w:szCs w:val="32"/>
          <w:lang w:eastAsia="zh-CN"/>
        </w:rPr>
        <w:t>三</w:t>
      </w:r>
    </w:p>
    <w:p>
      <w:pPr>
        <w:keepNext w:val="0"/>
        <w:keepLines w:val="0"/>
        <w:pageBreakBefore w:val="0"/>
        <w:widowControl w:val="0"/>
        <w:kinsoku/>
        <w:wordWrap w:val="0"/>
        <w:overflowPunct/>
        <w:topLinePunct w:val="0"/>
        <w:autoSpaceDE/>
        <w:autoSpaceDN/>
        <w:bidi w:val="0"/>
        <w:adjustRightInd/>
        <w:snapToGrid/>
        <w:spacing w:line="560" w:lineRule="exact"/>
        <w:ind w:firstLine="624" w:firstLineChars="200"/>
        <w:textAlignment w:val="auto"/>
        <w:rPr>
          <w:rFonts w:hint="eastAsia" w:ascii="楷体_GB2312" w:eastAsia="楷体_GB2312"/>
          <w:sz w:val="32"/>
          <w:szCs w:val="32"/>
        </w:rPr>
      </w:pPr>
      <w:r>
        <w:rPr>
          <w:rFonts w:hint="eastAsia" w:ascii="楷体_GB2312" w:eastAsia="楷体_GB2312"/>
          <w:sz w:val="32"/>
          <w:szCs w:val="32"/>
        </w:rPr>
        <w:t>届人民代表大会常务委员会第</w:t>
      </w:r>
      <w:r>
        <w:rPr>
          <w:rFonts w:ascii="楷体_GB2312" w:eastAsia="楷体_GB2312"/>
          <w:sz w:val="32"/>
          <w:szCs w:val="32"/>
          <w:lang w:eastAsia="zh-CN"/>
        </w:rPr>
        <w:t>三十二</w:t>
      </w:r>
      <w:r>
        <w:rPr>
          <w:rFonts w:hint="eastAsia" w:ascii="楷体_GB2312" w:eastAsia="楷体_GB2312"/>
          <w:sz w:val="32"/>
          <w:szCs w:val="32"/>
        </w:rPr>
        <w:t>次会议批准</w:t>
      </w:r>
      <w:r>
        <w:rPr>
          <w:rFonts w:hint="eastAsia" w:ascii="楷体_GB2312" w:eastAsia="楷体_GB2312" w:cs="仿宋"/>
          <w:sz w:val="32"/>
          <w:szCs w:val="32"/>
          <w:lang w:bidi="ar-SA"/>
        </w:rPr>
        <w:t>）</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Theme="minorEastAsia" w:hAnsiTheme="minorEastAsia" w:eastAsiaTheme="minorEastAsia" w:cstheme="minorEastAsia"/>
          <w:color w:val="000000"/>
          <w:sz w:val="32"/>
          <w:szCs w:val="32"/>
        </w:rPr>
      </w:pP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eastAsia="仿宋_GB2312"/>
          <w:color w:val="000000"/>
          <w:sz w:val="32"/>
          <w:szCs w:val="32"/>
        </w:rPr>
      </w:pPr>
      <w:r>
        <w:rPr>
          <w:rFonts w:hint="eastAsia" w:ascii="黑体" w:eastAsia="黑体"/>
          <w:color w:val="000000"/>
          <w:sz w:val="32"/>
          <w:szCs w:val="32"/>
        </w:rPr>
        <w:t>第一条</w:t>
      </w:r>
      <w:r>
        <w:rPr>
          <w:rFonts w:eastAsia="仿宋_GB2312"/>
          <w:color w:val="000000"/>
          <w:sz w:val="32"/>
          <w:szCs w:val="32"/>
        </w:rPr>
        <w:t xml:space="preserve"> </w:t>
      </w:r>
      <w:r>
        <w:rPr>
          <w:rFonts w:hint="eastAsia" w:eastAsia="仿宋_GB2312"/>
          <w:color w:val="000000"/>
          <w:sz w:val="32"/>
          <w:szCs w:val="32"/>
        </w:rPr>
        <w:t xml:space="preserve"> </w:t>
      </w:r>
      <w:r>
        <w:rPr>
          <w:rFonts w:eastAsia="仿宋_GB2312"/>
          <w:color w:val="000000"/>
          <w:sz w:val="32"/>
          <w:szCs w:val="32"/>
        </w:rPr>
        <w:t>为</w:t>
      </w:r>
      <w:r>
        <w:rPr>
          <w:rFonts w:hint="eastAsia" w:eastAsia="仿宋_GB2312"/>
          <w:color w:val="000000"/>
          <w:sz w:val="32"/>
          <w:szCs w:val="32"/>
        </w:rPr>
        <w:t>了</w:t>
      </w:r>
      <w:r>
        <w:rPr>
          <w:rFonts w:eastAsia="仿宋_GB2312"/>
          <w:color w:val="000000"/>
          <w:sz w:val="32"/>
          <w:szCs w:val="32"/>
        </w:rPr>
        <w:t>加强山海关古城保护，传承</w:t>
      </w:r>
      <w:r>
        <w:rPr>
          <w:rFonts w:hint="eastAsia" w:ascii="仿宋_GB2312" w:eastAsia="仿宋_GB2312" w:cs="仿宋_GB2312"/>
          <w:color w:val="000000"/>
          <w:sz w:val="32"/>
          <w:szCs w:val="32"/>
          <w:lang w:bidi="ar-SA"/>
        </w:rPr>
        <w:t>和弘扬</w:t>
      </w:r>
      <w:r>
        <w:rPr>
          <w:rFonts w:eastAsia="仿宋_GB2312"/>
          <w:color w:val="000000"/>
          <w:sz w:val="32"/>
          <w:szCs w:val="32"/>
        </w:rPr>
        <w:t>历史文化</w:t>
      </w:r>
      <w:bookmarkStart w:id="0" w:name="_Hlk27748871"/>
      <w:r>
        <w:rPr>
          <w:rFonts w:hint="eastAsia" w:eastAsia="仿宋_GB2312"/>
          <w:color w:val="000000"/>
          <w:sz w:val="32"/>
          <w:szCs w:val="32"/>
        </w:rPr>
        <w:t>，</w:t>
      </w:r>
      <w:r>
        <w:rPr>
          <w:rFonts w:hint="eastAsia" w:ascii="仿宋_GB2312" w:eastAsia="仿宋_GB2312" w:cs="仿宋_GB2312"/>
          <w:color w:val="000000"/>
          <w:sz w:val="32"/>
          <w:szCs w:val="32"/>
          <w:lang w:bidi="ar-SA"/>
        </w:rPr>
        <w:t>根据</w:t>
      </w:r>
      <w:r>
        <w:rPr>
          <w:rFonts w:eastAsia="仿宋_GB2312"/>
          <w:color w:val="000000"/>
          <w:sz w:val="32"/>
          <w:szCs w:val="32"/>
        </w:rPr>
        <w:t>有关法律法规，</w:t>
      </w:r>
      <w:bookmarkEnd w:id="0"/>
      <w:r>
        <w:rPr>
          <w:rFonts w:eastAsia="仿宋_GB2312"/>
          <w:color w:val="000000"/>
          <w:sz w:val="32"/>
          <w:szCs w:val="32"/>
        </w:rPr>
        <w:t>结合山海关古城实际，制定本条例。</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黑体" w:eastAsia="黑体"/>
          <w:color w:val="000000"/>
          <w:sz w:val="32"/>
          <w:szCs w:val="32"/>
        </w:rPr>
        <w:t xml:space="preserve">第二条 </w:t>
      </w:r>
      <w:r>
        <w:rPr>
          <w:rFonts w:hint="eastAsia" w:ascii="仿宋_GB2312" w:eastAsia="仿宋_GB2312"/>
          <w:color w:val="000000"/>
          <w:sz w:val="32"/>
          <w:szCs w:val="32"/>
        </w:rPr>
        <w:t xml:space="preserve"> 山海关古城的规划、保护、管理、利用等活动，适用本条例。</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eastAsia="仿宋_GB2312"/>
          <w:color w:val="000000"/>
          <w:sz w:val="32"/>
          <w:szCs w:val="32"/>
        </w:rPr>
      </w:pPr>
      <w:r>
        <w:rPr>
          <w:rFonts w:hint="eastAsia" w:ascii="仿宋_GB2312" w:eastAsia="仿宋_GB2312"/>
          <w:color w:val="000000"/>
          <w:sz w:val="32"/>
          <w:szCs w:val="32"/>
        </w:rPr>
        <w:t>本条例所称“山海关古城”是指《山海关</w:t>
      </w:r>
      <w:bookmarkStart w:id="20" w:name="_GoBack"/>
      <w:bookmarkEnd w:id="20"/>
      <w:r>
        <w:rPr>
          <w:rFonts w:hint="eastAsia" w:ascii="仿宋_GB2312" w:eastAsia="仿宋_GB2312"/>
          <w:color w:val="000000"/>
          <w:sz w:val="32"/>
          <w:szCs w:val="32"/>
        </w:rPr>
        <w:t>历史文化名城保护规划》确定的山海关历史城区范围，包括山海关关城、东罗城全部范围和城墙墙基外缘外扩五十米范围。</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黑体" w:eastAsia="黑体"/>
          <w:color w:val="000000"/>
          <w:sz w:val="32"/>
          <w:szCs w:val="32"/>
        </w:rPr>
        <w:t>第三条</w:t>
      </w:r>
      <w:r>
        <w:rPr>
          <w:rFonts w:hint="eastAsia" w:ascii="仿宋_GB2312" w:eastAsia="仿宋_GB2312"/>
          <w:color w:val="000000"/>
          <w:sz w:val="32"/>
          <w:szCs w:val="32"/>
        </w:rPr>
        <w:t xml:space="preserve">  </w:t>
      </w:r>
      <w:r>
        <w:rPr>
          <w:rFonts w:hint="eastAsia" w:ascii="仿宋_GB2312" w:eastAsia="仿宋_GB2312" w:cs="仿宋_GB2312"/>
          <w:color w:val="000000"/>
          <w:sz w:val="32"/>
          <w:szCs w:val="32"/>
          <w:lang w:bidi="ar-SA"/>
        </w:rPr>
        <w:t>山海关</w:t>
      </w:r>
      <w:r>
        <w:rPr>
          <w:rFonts w:hint="eastAsia" w:ascii="仿宋_GB2312" w:eastAsia="仿宋_GB2312"/>
          <w:color w:val="000000"/>
          <w:sz w:val="32"/>
          <w:szCs w:val="32"/>
        </w:rPr>
        <w:t>古城保护遵循统筹规划、保护优先、合理利用、科学管理原则，以文化传承、休闲旅游、传统居住为主导功能，保持古城的历史真实性、风貌完整性、文化传承性和生活永续性。</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_GB2312"/>
          <w:color w:val="000000"/>
          <w:sz w:val="32"/>
          <w:szCs w:val="32"/>
          <w:lang w:bidi="ar-SA"/>
        </w:rPr>
      </w:pPr>
      <w:r>
        <w:rPr>
          <w:rFonts w:hint="eastAsia" w:ascii="仿宋_GB2312" w:eastAsia="仿宋_GB2312" w:cs="仿宋_GB2312"/>
          <w:color w:val="000000"/>
          <w:sz w:val="32"/>
          <w:szCs w:val="32"/>
          <w:lang w:bidi="ar-SA"/>
        </w:rPr>
        <w:t>古城保护应当严格遵守《中华人民共和国文物保护法》、国务院《历史文化名城名镇名村保护条例》等法律法规规定。国家、省有关法律法规已有明确规定的，本条例不再重复规定。</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
          <w:bCs/>
          <w:color w:val="000000"/>
          <w:sz w:val="32"/>
          <w:szCs w:val="32"/>
          <w:lang w:bidi="ar-SA"/>
        </w:rPr>
      </w:pPr>
      <w:r>
        <w:rPr>
          <w:rFonts w:hint="eastAsia" w:ascii="黑体" w:eastAsia="黑体"/>
          <w:color w:val="000000"/>
          <w:sz w:val="32"/>
          <w:szCs w:val="32"/>
        </w:rPr>
        <w:t>第四条</w:t>
      </w:r>
      <w:r>
        <w:rPr>
          <w:rFonts w:eastAsia="仿宋_GB2312"/>
          <w:color w:val="000000"/>
          <w:sz w:val="32"/>
          <w:szCs w:val="32"/>
        </w:rPr>
        <w:t xml:space="preserve"> </w:t>
      </w:r>
      <w:r>
        <w:rPr>
          <w:rFonts w:hint="eastAsia" w:eastAsia="仿宋_GB2312"/>
          <w:color w:val="000000"/>
          <w:sz w:val="32"/>
          <w:szCs w:val="32"/>
        </w:rPr>
        <w:t xml:space="preserve"> </w:t>
      </w:r>
      <w:r>
        <w:rPr>
          <w:rFonts w:hint="eastAsia" w:ascii="仿宋_GB2312" w:eastAsia="仿宋_GB2312" w:cs="仿宋"/>
          <w:color w:val="000000"/>
          <w:sz w:val="32"/>
          <w:szCs w:val="32"/>
          <w:lang w:bidi="ar-SA"/>
        </w:rPr>
        <w:t>市人民政府应当加强对山海关古城保护工作</w:t>
      </w:r>
      <w:r>
        <w:rPr>
          <w:rFonts w:hint="eastAsia" w:ascii="仿宋_GB2312" w:eastAsia="仿宋_GB2312" w:cs="仿宋"/>
          <w:bCs/>
          <w:color w:val="000000"/>
          <w:sz w:val="32"/>
          <w:szCs w:val="32"/>
          <w:lang w:bidi="ar-SA"/>
        </w:rPr>
        <w:t>的组织</w:t>
      </w:r>
      <w:r>
        <w:rPr>
          <w:rFonts w:hint="eastAsia" w:ascii="仿宋_GB2312" w:eastAsia="仿宋_GB2312" w:cs="仿宋"/>
          <w:color w:val="000000"/>
          <w:sz w:val="32"/>
          <w:szCs w:val="32"/>
          <w:lang w:bidi="ar-SA"/>
        </w:rPr>
        <w:t>领导，</w:t>
      </w:r>
      <w:r>
        <w:rPr>
          <w:rFonts w:hint="eastAsia" w:ascii="仿宋_GB2312" w:eastAsia="仿宋_GB2312" w:cs="仿宋"/>
          <w:bCs/>
          <w:color w:val="000000"/>
          <w:sz w:val="32"/>
          <w:szCs w:val="32"/>
          <w:lang w:bidi="ar-SA"/>
        </w:rPr>
        <w:t>统筹解决古城保护中的重大问题，依法对保护规划和保护名录的编制、调整等事项进行审核和监督指导</w:t>
      </w:r>
      <w:r>
        <w:rPr>
          <w:rFonts w:hint="eastAsia" w:ascii="仿宋_GB2312" w:eastAsia="仿宋_GB2312"/>
          <w:color w:val="000000"/>
          <w:sz w:val="32"/>
          <w:szCs w:val="32"/>
        </w:rPr>
        <w:t>。</w:t>
      </w:r>
      <w:r>
        <w:rPr>
          <w:rFonts w:hint="eastAsia" w:ascii="仿宋_GB2312" w:eastAsia="仿宋_GB2312" w:cs="仿宋"/>
          <w:bCs/>
          <w:color w:val="000000"/>
          <w:sz w:val="32"/>
          <w:szCs w:val="32"/>
          <w:lang w:bidi="ar-SA"/>
        </w:rPr>
        <w:t>市住建主管部门作为牵头部门，应当会同市资源规划、文物等主管部门负责审核和监督指导的具体工作。</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bdr w:val="single" w:color="000000" w:sz="4" w:space="0"/>
        </w:rPr>
      </w:pPr>
      <w:r>
        <w:rPr>
          <w:rFonts w:ascii="仿宋_GB2312" w:eastAsia="仿宋_GB2312" w:cs="仿宋"/>
          <w:bCs/>
          <w:color w:val="000000"/>
          <w:sz w:val="32"/>
          <w:szCs w:val="32"/>
          <w:lang w:bidi="ar-SA"/>
        </w:rPr>
        <w:t>市人民政府应当按照以块为主、条块结合的原则，明确市、区人民政府管理权限，依法编制市人民政府以及有关主管部门关于古城保护的权力清单和责任清单。</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_GB2312"/>
          <w:color w:val="000000"/>
          <w:spacing w:val="-10"/>
          <w:sz w:val="32"/>
          <w:szCs w:val="32"/>
          <w:lang w:bidi="ar-SA"/>
        </w:rPr>
      </w:pPr>
      <w:r>
        <w:rPr>
          <w:rFonts w:hint="eastAsia" w:ascii="黑体" w:eastAsia="黑体"/>
          <w:color w:val="000000"/>
          <w:sz w:val="32"/>
          <w:szCs w:val="32"/>
        </w:rPr>
        <w:t xml:space="preserve">第五条 </w:t>
      </w:r>
      <w:r>
        <w:rPr>
          <w:rFonts w:hint="eastAsia" w:ascii="仿宋_GB2312" w:eastAsia="仿宋_GB2312"/>
          <w:b/>
          <w:bCs/>
          <w:color w:val="000000"/>
          <w:sz w:val="32"/>
          <w:szCs w:val="32"/>
        </w:rPr>
        <w:t xml:space="preserve"> </w:t>
      </w:r>
      <w:r>
        <w:rPr>
          <w:rFonts w:hint="eastAsia" w:ascii="仿宋_GB2312" w:eastAsia="仿宋_GB2312"/>
          <w:color w:val="000000"/>
          <w:spacing w:val="-8"/>
          <w:sz w:val="32"/>
          <w:szCs w:val="32"/>
        </w:rPr>
        <w:t>山海关</w:t>
      </w:r>
      <w:r>
        <w:rPr>
          <w:rFonts w:hint="eastAsia" w:ascii="仿宋_GB2312" w:eastAsia="仿宋_GB2312" w:cs="仿宋_GB2312"/>
          <w:bCs/>
          <w:color w:val="000000"/>
          <w:spacing w:val="-8"/>
          <w:sz w:val="32"/>
          <w:szCs w:val="32"/>
          <w:lang w:bidi="ar-SA"/>
        </w:rPr>
        <w:t>区人民政府负责山海关古城保护的具体工作。</w:t>
      </w:r>
      <w:bookmarkStart w:id="1" w:name="tiao7_kuan1"/>
      <w:bookmarkEnd w:id="1"/>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bdr w:val="single" w:color="000000" w:sz="4" w:space="0"/>
        </w:rPr>
      </w:pPr>
      <w:r>
        <w:rPr>
          <w:rFonts w:hint="eastAsia" w:ascii="仿宋_GB2312" w:eastAsia="仿宋_GB2312" w:cs="仿宋_GB2312"/>
          <w:bCs/>
          <w:color w:val="000000"/>
          <w:sz w:val="32"/>
          <w:szCs w:val="32"/>
          <w:lang w:bidi="ar-SA"/>
        </w:rPr>
        <w:t>区人民政府应当成立山海关古城保护管理委员会，</w:t>
      </w:r>
      <w:r>
        <w:rPr>
          <w:rFonts w:hint="eastAsia" w:ascii="仿宋_GB2312" w:eastAsia="仿宋_GB2312"/>
          <w:color w:val="000000"/>
          <w:sz w:val="32"/>
          <w:szCs w:val="32"/>
        </w:rPr>
        <w:t>统筹协调区有关部门开展古城保护</w:t>
      </w:r>
      <w:r>
        <w:rPr>
          <w:rFonts w:hint="eastAsia" w:ascii="仿宋_GB2312" w:eastAsia="仿宋_GB2312" w:cs="仿宋_GB2312"/>
          <w:color w:val="000000"/>
          <w:sz w:val="32"/>
          <w:szCs w:val="32"/>
          <w:lang w:bidi="ar-SA"/>
        </w:rPr>
        <w:t>工作，研究决定历史文化保护、</w:t>
      </w:r>
      <w:r>
        <w:rPr>
          <w:rFonts w:hint="eastAsia" w:ascii="仿宋_GB2312" w:eastAsia="仿宋_GB2312"/>
          <w:color w:val="000000"/>
          <w:sz w:val="32"/>
          <w:szCs w:val="32"/>
        </w:rPr>
        <w:t>规划建设、资产盘活、业态发展、旅游秩序管理、综合执法等</w:t>
      </w:r>
      <w:r>
        <w:rPr>
          <w:rFonts w:hint="eastAsia" w:ascii="仿宋_GB2312" w:eastAsia="仿宋_GB2312" w:cs="仿宋_GB2312"/>
          <w:color w:val="000000"/>
          <w:sz w:val="32"/>
          <w:szCs w:val="32"/>
          <w:lang w:bidi="ar-SA"/>
        </w:rPr>
        <w:t>方面的重大事项</w:t>
      </w:r>
      <w:r>
        <w:rPr>
          <w:rFonts w:hint="eastAsia" w:ascii="仿宋_GB2312" w:eastAsia="仿宋_GB2312"/>
          <w:color w:val="000000"/>
          <w:sz w:val="32"/>
          <w:szCs w:val="32"/>
        </w:rPr>
        <w:t>。</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s="仿宋"/>
          <w:bCs/>
          <w:color w:val="000000"/>
          <w:sz w:val="32"/>
          <w:szCs w:val="32"/>
          <w:lang w:bidi="ar-SA"/>
        </w:rPr>
        <w:t>区住建主管部门作为牵头部门</w:t>
      </w:r>
      <w:r>
        <w:rPr>
          <w:rFonts w:hint="eastAsia" w:ascii="仿宋_GB2312" w:eastAsia="仿宋_GB2312" w:cs="仿宋_GB2312"/>
          <w:bCs/>
          <w:color w:val="000000"/>
          <w:sz w:val="32"/>
          <w:szCs w:val="32"/>
          <w:lang w:bidi="ar-SA"/>
        </w:rPr>
        <w:t>，应当会同</w:t>
      </w:r>
      <w:r>
        <w:rPr>
          <w:rFonts w:hint="eastAsia" w:ascii="仿宋_GB2312" w:eastAsia="仿宋_GB2312"/>
          <w:color w:val="000000"/>
          <w:sz w:val="32"/>
          <w:szCs w:val="32"/>
        </w:rPr>
        <w:t>区资源规划、</w:t>
      </w:r>
      <w:r>
        <w:rPr>
          <w:rFonts w:hint="eastAsia" w:ascii="仿宋_GB2312" w:eastAsia="仿宋_GB2312" w:cs="仿宋_GB2312"/>
          <w:color w:val="000000"/>
          <w:sz w:val="32"/>
          <w:szCs w:val="32"/>
          <w:lang w:bidi="ar-SA"/>
        </w:rPr>
        <w:t>文物等主管</w:t>
      </w:r>
      <w:r>
        <w:rPr>
          <w:rFonts w:hint="eastAsia" w:ascii="仿宋_GB2312" w:eastAsia="仿宋_GB2312"/>
          <w:color w:val="000000"/>
          <w:sz w:val="32"/>
          <w:szCs w:val="32"/>
        </w:rPr>
        <w:t>部门，落实本条例规定和保护规划要求，对古城建设项目的建筑高度、立面形式、院落布局、空间结构、建筑造型、整体风貌等依法严格审核，制定古城房屋新建、改建、扩建、维护修缮和不动产交易等方面的具体规定。</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区其他有关部门</w:t>
      </w:r>
      <w:r>
        <w:rPr>
          <w:rFonts w:ascii="仿宋_GB2312" w:eastAsia="仿宋_GB2312"/>
          <w:color w:val="000000"/>
          <w:sz w:val="32"/>
          <w:szCs w:val="32"/>
        </w:rPr>
        <w:t>应当按照</w:t>
      </w:r>
      <w:r>
        <w:rPr>
          <w:rFonts w:hint="eastAsia" w:ascii="仿宋_GB2312" w:eastAsia="仿宋_GB2312"/>
          <w:color w:val="000000"/>
          <w:sz w:val="32"/>
          <w:szCs w:val="32"/>
        </w:rPr>
        <w:t>各自职责协同做好古城保护工作。</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镇人民政府、街道办事处应当按照规定权限依法行使有关行政执法权，并配合做好古城保护工作。</w:t>
      </w:r>
      <w:bookmarkStart w:id="2" w:name="_Hlk97491563"/>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黑体" w:eastAsia="黑体"/>
          <w:color w:val="000000"/>
          <w:sz w:val="32"/>
          <w:szCs w:val="32"/>
        </w:rPr>
        <w:t xml:space="preserve">第六条  </w:t>
      </w:r>
      <w:r>
        <w:rPr>
          <w:rFonts w:hint="eastAsia" w:ascii="仿宋_GB2312" w:eastAsia="仿宋_GB2312"/>
          <w:color w:val="000000"/>
          <w:sz w:val="32"/>
          <w:szCs w:val="32"/>
        </w:rPr>
        <w:t>市、区人民政府应当将山海关古城保护工作纳入国民经济和社会发展规划，设立古城保护专项资金，列入本级财政预算。</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市人民政府对古城历史文化保护、基础设施和公共服务设施完善、民居改善等方面的重大项目，应当给予资金补助。</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黑体" w:eastAsia="黑体"/>
          <w:color w:val="000000"/>
          <w:sz w:val="32"/>
          <w:szCs w:val="32"/>
        </w:rPr>
        <w:t>第七</w:t>
      </w:r>
      <w:bookmarkEnd w:id="2"/>
      <w:r>
        <w:rPr>
          <w:rFonts w:hint="eastAsia" w:ascii="黑体" w:eastAsia="黑体"/>
          <w:color w:val="000000"/>
          <w:sz w:val="32"/>
          <w:szCs w:val="32"/>
        </w:rPr>
        <w:t xml:space="preserve">条  </w:t>
      </w:r>
      <w:r>
        <w:rPr>
          <w:rFonts w:hint="eastAsia" w:ascii="仿宋_GB2312" w:eastAsia="仿宋_GB2312"/>
          <w:color w:val="000000"/>
          <w:sz w:val="32"/>
          <w:szCs w:val="32"/>
        </w:rPr>
        <w:t>鼓励公民、法人和其他组织依法通过捐赠、设立基金、成立研究机构、开展志愿服务等方式，参与山海关古城保护工作。</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_GB2312"/>
          <w:bCs/>
          <w:color w:val="000000"/>
          <w:sz w:val="32"/>
          <w:szCs w:val="32"/>
          <w:lang w:bidi="ar-SA"/>
        </w:rPr>
      </w:pPr>
      <w:r>
        <w:rPr>
          <w:rFonts w:hint="eastAsia" w:ascii="黑体" w:eastAsia="黑体"/>
          <w:color w:val="000000"/>
          <w:sz w:val="32"/>
          <w:szCs w:val="32"/>
        </w:rPr>
        <w:t xml:space="preserve">第八条  </w:t>
      </w:r>
      <w:r>
        <w:rPr>
          <w:rFonts w:hint="eastAsia" w:ascii="仿宋_GB2312" w:eastAsia="仿宋_GB2312"/>
          <w:color w:val="000000"/>
          <w:sz w:val="32"/>
          <w:szCs w:val="32"/>
        </w:rPr>
        <w:t>任何单位和个人均有</w:t>
      </w:r>
      <w:r>
        <w:rPr>
          <w:rFonts w:hint="eastAsia" w:ascii="仿宋_GB2312" w:eastAsia="仿宋_GB2312" w:cs="仿宋_GB2312"/>
          <w:bCs/>
          <w:color w:val="000000"/>
          <w:sz w:val="32"/>
          <w:szCs w:val="32"/>
          <w:lang w:bidi="ar-SA"/>
        </w:rPr>
        <w:t>权对破坏山海关古城的行为进行劝阻、制止和举报。</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_GB2312"/>
          <w:bCs/>
          <w:color w:val="000000"/>
          <w:sz w:val="32"/>
          <w:szCs w:val="32"/>
          <w:lang w:bidi="ar-SA"/>
        </w:rPr>
      </w:pPr>
      <w:r>
        <w:rPr>
          <w:rFonts w:hint="eastAsia" w:ascii="仿宋_GB2312" w:eastAsia="仿宋_GB2312" w:cs="仿宋_GB2312"/>
          <w:bCs/>
          <w:color w:val="000000"/>
          <w:sz w:val="32"/>
          <w:szCs w:val="32"/>
          <w:lang w:bidi="ar-SA"/>
        </w:rPr>
        <w:t>对破坏山海关古城文化遗产等损害国家利益或者社会公共利益的行为，检察机关和有关社会组织可以依法提起公益诉讼。</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_GB2312"/>
          <w:color w:val="000000"/>
          <w:sz w:val="32"/>
          <w:szCs w:val="32"/>
          <w:lang w:bidi="ar-SA"/>
        </w:rPr>
      </w:pPr>
      <w:r>
        <w:rPr>
          <w:rFonts w:hint="eastAsia" w:ascii="黑体" w:eastAsia="黑体"/>
          <w:color w:val="000000"/>
          <w:sz w:val="32"/>
          <w:szCs w:val="32"/>
        </w:rPr>
        <w:t>第</w:t>
      </w:r>
      <w:r>
        <w:rPr>
          <w:rFonts w:hint="eastAsia" w:ascii="黑体" w:eastAsia="黑体"/>
          <w:bCs/>
          <w:color w:val="000000"/>
          <w:sz w:val="32"/>
          <w:szCs w:val="32"/>
        </w:rPr>
        <w:t>九</w:t>
      </w:r>
      <w:r>
        <w:rPr>
          <w:rFonts w:hint="eastAsia" w:ascii="黑体" w:eastAsia="黑体"/>
          <w:color w:val="000000"/>
          <w:sz w:val="32"/>
          <w:szCs w:val="32"/>
        </w:rPr>
        <w:t xml:space="preserve">条  </w:t>
      </w:r>
      <w:r>
        <w:rPr>
          <w:rFonts w:hint="eastAsia" w:ascii="仿宋_GB2312" w:eastAsia="仿宋_GB2312" w:cs="仿宋_GB2312"/>
          <w:bCs/>
          <w:color w:val="000000"/>
          <w:sz w:val="32"/>
          <w:szCs w:val="32"/>
          <w:lang w:bidi="ar-SA"/>
        </w:rPr>
        <w:t>区人民政府应当依法组织编制《山海关历史文化名城保护规划》，经市人民政府审核同意，报送省人民政府审批。</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s="仿宋_GB2312"/>
          <w:bCs/>
          <w:color w:val="000000"/>
          <w:sz w:val="32"/>
          <w:szCs w:val="32"/>
          <w:lang w:bidi="ar-SA"/>
        </w:rPr>
        <w:t>市、区人民政府编制或者修改其他规划，涉及山海关古城保护内容的，应当与《山海关历史文化名城保护规划》协调一致。</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_GB2312"/>
          <w:color w:val="000000"/>
          <w:sz w:val="32"/>
          <w:szCs w:val="32"/>
          <w:lang w:bidi="ar-SA"/>
        </w:rPr>
      </w:pPr>
      <w:r>
        <w:rPr>
          <w:rFonts w:hint="eastAsia" w:ascii="仿宋_GB2312" w:eastAsia="仿宋_GB2312"/>
          <w:color w:val="000000"/>
          <w:sz w:val="32"/>
          <w:szCs w:val="32"/>
        </w:rPr>
        <w:t>经依法批准的《山海关历史文化名城保护规划》应当严格实施，不得擅自修改；确需修改的，</w:t>
      </w:r>
      <w:r>
        <w:rPr>
          <w:rFonts w:hint="eastAsia" w:ascii="仿宋_GB2312" w:eastAsia="仿宋_GB2312" w:cs="仿宋_GB2312"/>
          <w:color w:val="000000"/>
          <w:sz w:val="32"/>
          <w:szCs w:val="32"/>
          <w:lang w:bidi="ar-SA"/>
        </w:rPr>
        <w:t>应当按照规定的审批程序报送审批。</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bookmarkStart w:id="3" w:name="_Hlk38466721"/>
      <w:r>
        <w:rPr>
          <w:rFonts w:hint="eastAsia" w:ascii="黑体" w:eastAsia="黑体"/>
          <w:color w:val="000000"/>
          <w:sz w:val="32"/>
          <w:szCs w:val="32"/>
        </w:rPr>
        <w:t xml:space="preserve">第十条  </w:t>
      </w:r>
      <w:r>
        <w:rPr>
          <w:rFonts w:hint="eastAsia" w:ascii="仿宋_GB2312" w:eastAsia="仿宋_GB2312"/>
          <w:color w:val="000000"/>
          <w:sz w:val="32"/>
          <w:szCs w:val="32"/>
        </w:rPr>
        <w:t>区人民政府应当编制山海关古城保护名录。古城</w:t>
      </w:r>
      <w:r>
        <w:rPr>
          <w:rFonts w:hint="eastAsia" w:ascii="仿宋_GB2312" w:eastAsia="仿宋_GB2312" w:cs="仿宋_GB2312"/>
          <w:color w:val="000000"/>
          <w:sz w:val="32"/>
          <w:szCs w:val="32"/>
          <w:lang w:bidi="ar-SA"/>
        </w:rPr>
        <w:t>保护名录应当包括国务院和省、市、区人民政府批准公布的保护对象和本条例第十一条规定</w:t>
      </w:r>
      <w:r>
        <w:rPr>
          <w:rFonts w:hint="eastAsia" w:ascii="仿宋_GB2312" w:eastAsia="仿宋_GB2312"/>
          <w:color w:val="000000"/>
          <w:sz w:val="32"/>
          <w:szCs w:val="32"/>
        </w:rPr>
        <w:t>的保护对象。</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编制、调整古城保护名录应当经过专家论证并向社会公示，报市人民政府批准后公布。古城保护名录应当每三年评估一次，并依据评估情况及时进行调整。</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eastAsia="仿宋_GB2312"/>
          <w:color w:val="000000"/>
          <w:sz w:val="32"/>
          <w:szCs w:val="32"/>
        </w:rPr>
      </w:pPr>
      <w:r>
        <w:rPr>
          <w:rFonts w:hint="eastAsia" w:ascii="仿宋_GB2312" w:eastAsia="仿宋_GB2312"/>
          <w:color w:val="000000"/>
          <w:sz w:val="32"/>
          <w:szCs w:val="32"/>
        </w:rPr>
        <w:t>列入保护名录的保护对象，由区住建、资源规划、文物等主管部门分类设置标志牌，标明保护对象的中英文名称、年代、保护范围、保护责任人、重点历史信息等内容；开展对保护对象的数字化信息采集，建立数字档案，运用物联网、大数据、云计算等现代信息技术，提升古城保护信息化管理水平。</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黑体" w:eastAsia="黑体"/>
          <w:color w:val="000000"/>
          <w:sz w:val="32"/>
          <w:szCs w:val="32"/>
        </w:rPr>
        <w:t xml:space="preserve">第十一条  </w:t>
      </w:r>
      <w:r>
        <w:rPr>
          <w:rFonts w:hint="eastAsia" w:ascii="仿宋_GB2312" w:eastAsia="仿宋_GB2312"/>
          <w:color w:val="000000"/>
          <w:sz w:val="32"/>
          <w:szCs w:val="32"/>
        </w:rPr>
        <w:t>山海关古城保护对象包括：</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（一）世界文化遗产、全国重点文物保护单位万里长城——山海关；</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（二）山海关古城的传统格局、历史风貌以及与其相互依存的自然景观和环境；</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 xml:space="preserve">（三）东头条至东三条历史文化街区、东三条至东八条历史文化街区、十字大街历史风貌区、天心胡同历史风貌区以及其他有传统风貌的历史街巷等； </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（四）</w:t>
      </w:r>
      <w:r>
        <w:rPr>
          <w:rFonts w:hint="eastAsia" w:ascii="仿宋_GB2312" w:eastAsia="仿宋_GB2312" w:cs="仿宋_GB2312"/>
          <w:bCs/>
          <w:color w:val="000000"/>
          <w:sz w:val="32"/>
          <w:szCs w:val="32"/>
          <w:lang w:bidi="ar-SA"/>
        </w:rPr>
        <w:t>先师庙、南大街绸布庄、田中玉公馆、季大夫楼、王家大院建筑群</w:t>
      </w:r>
      <w:r>
        <w:rPr>
          <w:rFonts w:hint="eastAsia" w:ascii="仿宋_GB2312" w:eastAsia="仿宋_GB2312"/>
          <w:color w:val="000000"/>
          <w:sz w:val="32"/>
          <w:szCs w:val="32"/>
        </w:rPr>
        <w:t>等各级文物保护单位</w:t>
      </w:r>
      <w:r>
        <w:rPr>
          <w:rFonts w:hint="eastAsia" w:ascii="仿宋_GB2312" w:eastAsia="仿宋_GB2312" w:cs="仿宋_GB2312"/>
          <w:bCs/>
          <w:color w:val="000000"/>
          <w:sz w:val="32"/>
          <w:szCs w:val="32"/>
          <w:lang w:bidi="ar-SA"/>
        </w:rPr>
        <w:t>和</w:t>
      </w:r>
      <w:r>
        <w:rPr>
          <w:rFonts w:hint="eastAsia" w:ascii="仿宋_GB2312" w:eastAsia="仿宋_GB2312"/>
          <w:color w:val="000000"/>
          <w:sz w:val="32"/>
          <w:szCs w:val="32"/>
        </w:rPr>
        <w:t>尚未核定为文物保护单位的不可移动文物；</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（五）历史建筑</w:t>
      </w:r>
      <w:r>
        <w:rPr>
          <w:rFonts w:hint="eastAsia" w:ascii="仿宋_GB2312" w:eastAsia="仿宋_GB2312" w:cs="仿宋_GB2312"/>
          <w:bCs/>
          <w:color w:val="000000"/>
          <w:sz w:val="32"/>
          <w:szCs w:val="32"/>
          <w:lang w:bidi="ar-SA"/>
        </w:rPr>
        <w:t>以</w:t>
      </w:r>
      <w:r>
        <w:rPr>
          <w:rFonts w:hint="eastAsia" w:ascii="仿宋_GB2312" w:eastAsia="仿宋_GB2312"/>
          <w:color w:val="000000"/>
          <w:sz w:val="32"/>
          <w:szCs w:val="32"/>
        </w:rPr>
        <w:t>及其他保存较好的</w:t>
      </w:r>
      <w:r>
        <w:rPr>
          <w:rFonts w:hint="eastAsia" w:ascii="仿宋_GB2312" w:eastAsia="仿宋_GB2312" w:cs="仿宋_GB2312"/>
          <w:bCs/>
          <w:color w:val="000000"/>
          <w:sz w:val="32"/>
          <w:szCs w:val="32"/>
          <w:lang w:bidi="ar-SA"/>
        </w:rPr>
        <w:t>传统风貌建筑和</w:t>
      </w:r>
      <w:r>
        <w:rPr>
          <w:rFonts w:hint="eastAsia" w:ascii="仿宋_GB2312" w:eastAsia="仿宋_GB2312"/>
          <w:color w:val="000000"/>
          <w:sz w:val="32"/>
          <w:szCs w:val="32"/>
        </w:rPr>
        <w:t>传统民居等；</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 xml:space="preserve">（六）与重大历史事件、重要历史人物等有关的代表性建筑、遗址、遗迹及纪念性设施； </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（七）历史环境要素，包括反映历史风貌的古树名木、牌坊、古井等；</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（八）各级非物质文化遗产以及优秀传统文化，包括传统艺术、传统工艺、传统民俗等；</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（九）历史地名、历史建（构）筑物名称、商业老字号；</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（十）其他具有历史和文化价值的保护对象。</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黑体" w:eastAsia="黑体"/>
          <w:color w:val="000000"/>
          <w:sz w:val="32"/>
          <w:szCs w:val="32"/>
        </w:rPr>
        <w:t xml:space="preserve">第十二条  </w:t>
      </w:r>
      <w:r>
        <w:rPr>
          <w:rFonts w:hint="eastAsia" w:ascii="仿宋_GB2312" w:eastAsia="仿宋_GB2312"/>
          <w:color w:val="000000"/>
          <w:sz w:val="32"/>
          <w:szCs w:val="32"/>
        </w:rPr>
        <w:t>山海关古城应当整体保护，保护各类文化遗产，保持传统格局、历史风貌和空间尺度，不得擅自改变与其相互依存的自然景观和环境。保护关城和东罗城城墙、城楼以及城外护城河，保护关城以东西、南北十字大街为骨架的棋盘式街巷格局。不得随意改变地形高差，保护迎恩楼、镇东楼、望洋楼、威远门与钟鼓楼之间的视线通廊。</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古城建筑宜为小式建筑，青砖灰瓦、红绿点缀，符合传统建筑风貌，高度应当符合保护规划的限制要求。</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古城应当保持环境整洁，不得建设污染环境的设施，不得进行可能影响环境的活动。</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bookmarkStart w:id="4" w:name="_Hlk80383819"/>
      <w:r>
        <w:rPr>
          <w:rFonts w:hint="eastAsia" w:ascii="黑体" w:eastAsia="黑体"/>
          <w:color w:val="000000"/>
          <w:sz w:val="32"/>
          <w:szCs w:val="32"/>
        </w:rPr>
        <w:t>第十三</w:t>
      </w:r>
      <w:bookmarkEnd w:id="4"/>
      <w:r>
        <w:rPr>
          <w:rFonts w:hint="eastAsia" w:ascii="黑体" w:eastAsia="黑体"/>
          <w:color w:val="000000"/>
          <w:sz w:val="32"/>
          <w:szCs w:val="32"/>
        </w:rPr>
        <w:t xml:space="preserve">条  </w:t>
      </w:r>
      <w:r>
        <w:rPr>
          <w:rFonts w:hint="eastAsia" w:ascii="仿宋_GB2312" w:eastAsia="仿宋_GB2312"/>
          <w:color w:val="000000"/>
          <w:sz w:val="32"/>
          <w:szCs w:val="32"/>
        </w:rPr>
        <w:t>区人民政府应当依法加强对山海关古城历史文化街区的保护。在历史文化街区核心保护范围内，除必要的基础设施和公共服务设施外，不得进行新建、扩建活动。</w:t>
      </w:r>
    </w:p>
    <w:bookmarkEnd w:id="3"/>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bCs/>
          <w:color w:val="000000"/>
          <w:sz w:val="32"/>
          <w:szCs w:val="32"/>
        </w:rPr>
      </w:pPr>
      <w:r>
        <w:rPr>
          <w:rFonts w:hint="eastAsia" w:ascii="黑体" w:eastAsia="黑体"/>
          <w:color w:val="000000"/>
          <w:sz w:val="32"/>
          <w:szCs w:val="32"/>
        </w:rPr>
        <w:t xml:space="preserve">第十四条  </w:t>
      </w:r>
      <w:r>
        <w:rPr>
          <w:rFonts w:hint="eastAsia" w:ascii="仿宋_GB2312" w:eastAsia="仿宋_GB2312" w:cs="仿宋"/>
          <w:bCs/>
          <w:color w:val="000000"/>
          <w:sz w:val="32"/>
          <w:szCs w:val="32"/>
          <w:lang w:bidi="ar-SA"/>
        </w:rPr>
        <w:t>尚未申报为历史文化街区，但传统风貌较为集中或者具有特定时期的风貌，街巷格局比较完整，需要整体保护的区域，应当划定为历史风貌区。具备上述特点的街巷，应当确定为历史街巷。</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s="仿宋"/>
          <w:color w:val="000000"/>
          <w:sz w:val="32"/>
          <w:szCs w:val="32"/>
          <w:lang w:bidi="ar-SA"/>
        </w:rPr>
        <w:t>区人民政府应当加强对历史风貌区和</w:t>
      </w:r>
      <w:r>
        <w:rPr>
          <w:rFonts w:hint="eastAsia" w:ascii="仿宋_GB2312" w:eastAsia="仿宋_GB2312" w:cs="仿宋"/>
          <w:bCs/>
          <w:color w:val="000000"/>
          <w:sz w:val="32"/>
          <w:szCs w:val="32"/>
          <w:lang w:bidi="ar-SA"/>
        </w:rPr>
        <w:t>历史</w:t>
      </w:r>
      <w:r>
        <w:rPr>
          <w:rFonts w:hint="eastAsia" w:ascii="仿宋_GB2312" w:eastAsia="仿宋_GB2312" w:cs="仿宋"/>
          <w:color w:val="000000"/>
          <w:sz w:val="32"/>
          <w:szCs w:val="32"/>
          <w:lang w:bidi="ar-SA"/>
        </w:rPr>
        <w:t>街巷的保护整治，保护历史风貌区和</w:t>
      </w:r>
      <w:r>
        <w:rPr>
          <w:rFonts w:hint="eastAsia" w:ascii="仿宋_GB2312" w:eastAsia="仿宋_GB2312" w:cs="仿宋"/>
          <w:bCs/>
          <w:color w:val="000000"/>
          <w:sz w:val="32"/>
          <w:szCs w:val="32"/>
          <w:lang w:bidi="ar-SA"/>
        </w:rPr>
        <w:t>历史</w:t>
      </w:r>
      <w:r>
        <w:rPr>
          <w:rFonts w:hint="eastAsia" w:ascii="仿宋_GB2312" w:eastAsia="仿宋_GB2312" w:cs="仿宋"/>
          <w:color w:val="000000"/>
          <w:sz w:val="32"/>
          <w:szCs w:val="32"/>
          <w:lang w:bidi="ar-SA"/>
        </w:rPr>
        <w:t>街巷的传统风貌、空间尺度、街巷走向和特色铺地。采取微整治、微更新措施，整治街巷两侧街景，梳理道路交</w:t>
      </w:r>
      <w:r>
        <w:rPr>
          <w:rFonts w:hint="eastAsia" w:ascii="仿宋_GB2312" w:eastAsia="仿宋_GB2312"/>
          <w:color w:val="000000"/>
          <w:sz w:val="32"/>
          <w:szCs w:val="32"/>
        </w:rPr>
        <w:t>通，调整用地功能，完善基础设施配套。沿街建（构）筑物的临街立面禁止安装、使用与山海关古城传统风貌冲突的设施和建筑材料。</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bookmarkStart w:id="5" w:name="_Hlk80385030"/>
      <w:r>
        <w:rPr>
          <w:rFonts w:hint="eastAsia" w:ascii="黑体" w:eastAsia="黑体"/>
          <w:color w:val="000000"/>
          <w:sz w:val="32"/>
          <w:szCs w:val="32"/>
        </w:rPr>
        <w:t>第十五</w:t>
      </w:r>
      <w:bookmarkEnd w:id="5"/>
      <w:r>
        <w:rPr>
          <w:rFonts w:hint="eastAsia" w:ascii="黑体" w:eastAsia="黑体"/>
          <w:color w:val="000000"/>
          <w:sz w:val="32"/>
          <w:szCs w:val="32"/>
        </w:rPr>
        <w:t xml:space="preserve">条  </w:t>
      </w:r>
      <w:r>
        <w:rPr>
          <w:rFonts w:hint="eastAsia" w:ascii="仿宋_GB2312" w:eastAsia="仿宋_GB2312"/>
          <w:color w:val="000000"/>
          <w:sz w:val="32"/>
          <w:szCs w:val="32"/>
        </w:rPr>
        <w:t>市、区文物主管部门应当依法加强山海关古城文物本体以及周边环境的保护，组织编制、完善文物保护规划，通过数字化保护等科技手段提高文物保护水平。</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bookmarkStart w:id="6" w:name="_Hlk80385072"/>
      <w:r>
        <w:rPr>
          <w:rFonts w:hint="eastAsia" w:ascii="黑体" w:eastAsia="黑体"/>
          <w:color w:val="000000"/>
          <w:sz w:val="32"/>
          <w:szCs w:val="32"/>
        </w:rPr>
        <w:t>第十六</w:t>
      </w:r>
      <w:bookmarkEnd w:id="6"/>
      <w:r>
        <w:rPr>
          <w:rFonts w:hint="eastAsia" w:ascii="黑体" w:eastAsia="黑体"/>
          <w:color w:val="000000"/>
          <w:sz w:val="32"/>
          <w:szCs w:val="32"/>
        </w:rPr>
        <w:t xml:space="preserve">条  </w:t>
      </w:r>
      <w:r>
        <w:rPr>
          <w:rFonts w:hint="eastAsia" w:ascii="仿宋_GB2312" w:eastAsia="仿宋_GB2312"/>
          <w:color w:val="000000"/>
          <w:sz w:val="32"/>
          <w:szCs w:val="32"/>
        </w:rPr>
        <w:t>区人民政府应当依法明确历史建筑的保护责任人。保护责任人应当按照要求负责历史建筑的维护和修缮，市、区人民政府可以给予资金补助。历史建筑有损毁危险，保护责任人不具备维护和修缮能力的，区人民政府应当采取措施进行保护。</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历史建筑应当按照保护规划和保护图则的要求进行维护和修缮，不得改变主要立面、结构体系、基本平面布局、建筑高度和有特色的内部装饰。对历史建筑进行外部修缮装饰、添加设施、结构加固或者改变使用性质的，由区住建主管部门会同区文物主管部门批准，并按照有关法律法规规定办理相关手续。</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
          <w:color w:val="000000"/>
          <w:sz w:val="32"/>
          <w:szCs w:val="32"/>
          <w:lang w:bidi="ar-SA"/>
        </w:rPr>
      </w:pPr>
      <w:bookmarkStart w:id="7" w:name="_Hlk80386591"/>
      <w:r>
        <w:rPr>
          <w:rFonts w:hint="eastAsia" w:ascii="黑体" w:eastAsia="黑体"/>
          <w:color w:val="000000"/>
          <w:sz w:val="32"/>
          <w:szCs w:val="32"/>
        </w:rPr>
        <w:t>第十七</w:t>
      </w:r>
      <w:bookmarkEnd w:id="7"/>
      <w:r>
        <w:rPr>
          <w:rFonts w:hint="eastAsia" w:ascii="黑体" w:eastAsia="黑体"/>
          <w:color w:val="000000"/>
          <w:sz w:val="32"/>
          <w:szCs w:val="32"/>
        </w:rPr>
        <w:t xml:space="preserve">条  </w:t>
      </w:r>
      <w:r>
        <w:rPr>
          <w:rFonts w:hint="eastAsia" w:ascii="仿宋_GB2312" w:eastAsia="仿宋_GB2312" w:cs="仿宋"/>
          <w:color w:val="000000"/>
          <w:sz w:val="32"/>
          <w:szCs w:val="32"/>
          <w:lang w:bidi="ar-SA"/>
        </w:rPr>
        <w:t>文物建筑、历史建筑以外，具有一定保护价值和建成历史，能够反映历史文化内涵和地方特色，对整体风貌形成具有价值和意义的建（构）筑物，应当确定为传统风貌建筑。</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s="仿宋"/>
          <w:color w:val="000000"/>
          <w:sz w:val="32"/>
          <w:szCs w:val="32"/>
          <w:lang w:bidi="ar-SA"/>
        </w:rPr>
        <w:t>传统风貌建筑的维护修缮遵循不改变传统风貌特色原则，按照传统建筑的样式、结构、材料进行修复，不得改变传统风貌建筑外观特色和院落格局。</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
          <w:color w:val="000000"/>
          <w:sz w:val="32"/>
          <w:szCs w:val="32"/>
          <w:lang w:bidi="ar-SA"/>
        </w:rPr>
      </w:pPr>
      <w:r>
        <w:rPr>
          <w:rFonts w:hint="eastAsia" w:ascii="黑体" w:eastAsia="黑体"/>
          <w:color w:val="000000"/>
          <w:sz w:val="32"/>
          <w:szCs w:val="32"/>
        </w:rPr>
        <w:t xml:space="preserve">第十八条  </w:t>
      </w:r>
      <w:r>
        <w:rPr>
          <w:rFonts w:hint="eastAsia" w:eastAsia="仿宋_GB2312"/>
          <w:color w:val="000000"/>
          <w:sz w:val="32"/>
          <w:szCs w:val="32"/>
        </w:rPr>
        <w:t>在</w:t>
      </w:r>
      <w:r>
        <w:rPr>
          <w:rFonts w:hint="eastAsia" w:ascii="仿宋_GB2312" w:eastAsia="仿宋_GB2312" w:cs="仿宋"/>
          <w:color w:val="000000"/>
          <w:sz w:val="32"/>
          <w:szCs w:val="32"/>
          <w:lang w:bidi="ar-SA"/>
        </w:rPr>
        <w:t>山海关古城从事建设活动，应当符合保护规划和保护图则的要求，不得损害历史文化遗产的真实性、完整性，不得大拆大建、拆真建假，不得随意拆除体现城市特定发展阶段、反映重要历史事件、凝聚社会公众情感的既有建筑，不得对古城的传统格局和历史风貌构成破坏性影响。</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
          <w:color w:val="000000"/>
          <w:sz w:val="32"/>
          <w:szCs w:val="32"/>
          <w:shd w:val="solid" w:color="FFCC99" w:fill="FFFFFF"/>
          <w:lang w:bidi="ar-SA"/>
        </w:rPr>
      </w:pPr>
      <w:r>
        <w:rPr>
          <w:rFonts w:hint="eastAsia" w:ascii="仿宋_GB2312" w:eastAsia="仿宋_GB2312"/>
          <w:bCs/>
          <w:color w:val="000000"/>
          <w:sz w:val="32"/>
          <w:szCs w:val="32"/>
        </w:rPr>
        <w:t>山海关</w:t>
      </w:r>
      <w:r>
        <w:rPr>
          <w:rFonts w:hint="eastAsia" w:ascii="仿宋_GB2312" w:eastAsia="仿宋_GB2312"/>
          <w:color w:val="000000"/>
          <w:sz w:val="32"/>
          <w:szCs w:val="32"/>
        </w:rPr>
        <w:t>古城严格控制住宅院落内新建、改建、扩建工程，确需新建、改建、扩建或者整体更新的，应当满足保护规划控制要求，并由区资源规划主管部门会同文物和风景名胜主管部门按照有关法律法规规定办理相关手续。</w:t>
      </w:r>
    </w:p>
    <w:p>
      <w:pPr>
        <w:keepNext w:val="0"/>
        <w:keepLines w:val="0"/>
        <w:pageBreakBefore w:val="0"/>
        <w:widowControl w:val="0"/>
        <w:kinsoku/>
        <w:overflowPunct/>
        <w:topLinePunct w:val="0"/>
        <w:autoSpaceDE/>
        <w:autoSpaceDN/>
        <w:bidi w:val="0"/>
        <w:adjustRightInd/>
        <w:snapToGrid/>
        <w:spacing w:line="560" w:lineRule="exact"/>
        <w:ind w:firstLine="624" w:firstLineChars="200"/>
        <w:rPr>
          <w:rFonts w:hint="eastAsia" w:ascii="仿宋_GB2312" w:eastAsia="仿宋_GB2312" w:cs="仿宋"/>
          <w:color w:val="000000"/>
          <w:sz w:val="32"/>
          <w:szCs w:val="32"/>
          <w:lang w:bidi="ar-SA"/>
        </w:rPr>
      </w:pPr>
      <w:bookmarkStart w:id="8" w:name="_Hlk38466909"/>
      <w:r>
        <w:rPr>
          <w:rFonts w:hint="eastAsia" w:ascii="黑体" w:eastAsia="黑体"/>
          <w:color w:val="000000"/>
          <w:sz w:val="32"/>
          <w:szCs w:val="32"/>
        </w:rPr>
        <w:t xml:space="preserve">第十九条  </w:t>
      </w:r>
      <w:r>
        <w:rPr>
          <w:rFonts w:hint="eastAsia" w:ascii="仿宋_GB2312" w:eastAsia="仿宋_GB2312" w:cs="仿宋"/>
          <w:color w:val="000000"/>
          <w:sz w:val="32"/>
          <w:szCs w:val="32"/>
          <w:lang w:bidi="ar-SA"/>
        </w:rPr>
        <w:t>区人民政府应当加强山海关古城民居改善与管</w:t>
      </w:r>
      <w:r>
        <w:rPr>
          <w:rFonts w:hint="eastAsia" w:ascii="仿宋_GB2312" w:eastAsia="仿宋_GB2312" w:cs="仿宋"/>
          <w:color w:val="000000"/>
          <w:spacing w:val="6"/>
          <w:sz w:val="32"/>
          <w:szCs w:val="32"/>
          <w:lang w:bidi="ar-SA"/>
        </w:rPr>
        <w:t>理，制定古城民居管理办法，编制古城传统民居风貌导则，强化居住吸引力，延续古城居住功能，保持古城生活真实性和整体活力</w:t>
      </w:r>
      <w:r>
        <w:rPr>
          <w:rFonts w:hint="eastAsia" w:ascii="仿宋_GB2312" w:eastAsia="仿宋_GB2312" w:cs="仿宋"/>
          <w:color w:val="000000"/>
          <w:sz w:val="32"/>
          <w:szCs w:val="32"/>
          <w:lang w:bidi="ar-SA"/>
        </w:rPr>
        <w:t>。</w:t>
      </w:r>
    </w:p>
    <w:p>
      <w:pPr>
        <w:keepNext w:val="0"/>
        <w:keepLines w:val="0"/>
        <w:pageBreakBefore w:val="0"/>
        <w:widowControl w:val="0"/>
        <w:kinsoku/>
        <w:overflowPunct/>
        <w:topLinePunct w:val="0"/>
        <w:autoSpaceDE/>
        <w:autoSpaceDN/>
        <w:bidi w:val="0"/>
        <w:adjustRightInd/>
        <w:snapToGrid/>
        <w:spacing w:line="560" w:lineRule="exact"/>
        <w:ind w:firstLine="624" w:firstLineChars="200"/>
        <w:rPr>
          <w:rFonts w:hint="eastAsia" w:ascii="仿宋_GB2312" w:eastAsia="仿宋_GB2312" w:cs="仿宋"/>
          <w:color w:val="000000"/>
          <w:sz w:val="32"/>
          <w:szCs w:val="32"/>
          <w:lang w:bidi="ar-SA"/>
        </w:rPr>
      </w:pPr>
      <w:r>
        <w:rPr>
          <w:rFonts w:hint="eastAsia" w:ascii="仿宋_GB2312" w:eastAsia="仿宋_GB2312" w:cs="仿宋"/>
          <w:color w:val="000000"/>
          <w:sz w:val="32"/>
          <w:szCs w:val="32"/>
          <w:lang w:bidi="ar-SA"/>
        </w:rPr>
        <w:t>古城民居改善应当根据建筑不同性质和情况，遵循重点保护、合理保留、普遍改善、局部更新原则，在空间、尺度和建筑样式上与古城历史风貌相协调。</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与古城传统风貌冲突较大的建（构）筑物，可以依法逐步改造或者拆除。</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bookmarkStart w:id="9" w:name="_Hlk80424338"/>
      <w:bookmarkStart w:id="10" w:name="_Hlk99008538"/>
      <w:r>
        <w:rPr>
          <w:rFonts w:hint="eastAsia" w:ascii="黑体" w:eastAsia="黑体"/>
          <w:color w:val="000000"/>
          <w:sz w:val="32"/>
          <w:szCs w:val="32"/>
        </w:rPr>
        <w:t xml:space="preserve">第二十条  </w:t>
      </w:r>
      <w:r>
        <w:rPr>
          <w:rFonts w:hint="eastAsia" w:ascii="仿宋_GB2312" w:eastAsia="仿宋_GB2312"/>
          <w:color w:val="000000"/>
          <w:sz w:val="32"/>
          <w:szCs w:val="32"/>
        </w:rPr>
        <w:t>市、区人民政府应当按照保护规划要求，建设和完善山海关古城及周边基础设施和公共服务设施。</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古城倡导慢行交通优先，结合城墙、绿带及传统风貌和特色</w:t>
      </w:r>
      <w:bookmarkStart w:id="11" w:name="_Hlk99015438"/>
      <w:r>
        <w:rPr>
          <w:rFonts w:hint="eastAsia" w:ascii="仿宋_GB2312" w:eastAsia="仿宋_GB2312"/>
          <w:color w:val="000000"/>
          <w:sz w:val="32"/>
          <w:szCs w:val="32"/>
        </w:rPr>
        <w:t>街巷，形成慢行网络。区人民政府可以根据古城保护利用需要，划定禁行、限行区域</w:t>
      </w:r>
      <w:bookmarkEnd w:id="11"/>
      <w:r>
        <w:rPr>
          <w:rFonts w:hint="eastAsia" w:ascii="仿宋_GB2312" w:eastAsia="仿宋_GB2312"/>
          <w:color w:val="000000"/>
          <w:sz w:val="32"/>
          <w:szCs w:val="32"/>
        </w:rPr>
        <w:t>。</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仿宋_GB2312" w:eastAsia="仿宋_GB2312"/>
          <w:color w:val="000000"/>
          <w:sz w:val="32"/>
          <w:szCs w:val="32"/>
        </w:rPr>
        <w:t>古城建设和完善给水排水、电力电信、燃气供热等基础设施和公共服务设施，应当遵循“最小干扰”原则，尽量采用埋地敷设等隐蔽工程处理，保护古城历史风貌</w:t>
      </w:r>
      <w:bookmarkEnd w:id="9"/>
      <w:r>
        <w:rPr>
          <w:rFonts w:hint="eastAsia" w:ascii="仿宋_GB2312" w:eastAsia="仿宋_GB2312"/>
          <w:color w:val="000000"/>
          <w:sz w:val="32"/>
          <w:szCs w:val="32"/>
        </w:rPr>
        <w:t>。</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eastAsia="仿宋_GB2312"/>
          <w:color w:val="000000"/>
          <w:sz w:val="32"/>
          <w:szCs w:val="32"/>
        </w:rPr>
      </w:pPr>
      <w:r>
        <w:rPr>
          <w:rFonts w:hint="eastAsia" w:ascii="黑体" w:eastAsia="黑体"/>
          <w:color w:val="000000"/>
          <w:sz w:val="32"/>
          <w:szCs w:val="32"/>
        </w:rPr>
        <w:t xml:space="preserve">第二十一条  </w:t>
      </w:r>
      <w:r>
        <w:rPr>
          <w:rFonts w:eastAsia="仿宋_GB2312"/>
          <w:color w:val="000000"/>
          <w:sz w:val="32"/>
          <w:szCs w:val="32"/>
        </w:rPr>
        <w:t>山海关古城地下空间建设项目应</w:t>
      </w:r>
      <w:r>
        <w:rPr>
          <w:rFonts w:hint="eastAsia" w:eastAsia="仿宋_GB2312"/>
          <w:color w:val="000000"/>
          <w:sz w:val="32"/>
          <w:szCs w:val="32"/>
        </w:rPr>
        <w:t>当</w:t>
      </w:r>
      <w:r>
        <w:rPr>
          <w:rFonts w:eastAsia="仿宋_GB2312"/>
          <w:color w:val="000000"/>
          <w:sz w:val="32"/>
          <w:szCs w:val="32"/>
        </w:rPr>
        <w:t>预先进行地下文物勘探，保护可能存在的地下文物遗存。</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eastAsia="仿宋_GB2312"/>
          <w:color w:val="000000"/>
          <w:sz w:val="32"/>
          <w:szCs w:val="32"/>
        </w:rPr>
      </w:pPr>
      <w:r>
        <w:rPr>
          <w:rFonts w:eastAsia="仿宋_GB2312"/>
          <w:color w:val="000000"/>
          <w:sz w:val="32"/>
          <w:szCs w:val="32"/>
        </w:rPr>
        <w:t>文物保护单位保护范围</w:t>
      </w:r>
      <w:r>
        <w:rPr>
          <w:rFonts w:hint="eastAsia" w:eastAsia="仿宋_GB2312"/>
          <w:color w:val="000000"/>
          <w:sz w:val="32"/>
          <w:szCs w:val="32"/>
        </w:rPr>
        <w:t>以</w:t>
      </w:r>
      <w:r>
        <w:rPr>
          <w:rFonts w:eastAsia="仿宋_GB2312"/>
          <w:color w:val="000000"/>
          <w:sz w:val="32"/>
          <w:szCs w:val="32"/>
        </w:rPr>
        <w:t>及历史文化街区核心保护范围内禁止地下空间开发与建设。</w:t>
      </w:r>
    </w:p>
    <w:p>
      <w:pPr>
        <w:keepNext w:val="0"/>
        <w:keepLines w:val="0"/>
        <w:pageBreakBefore w:val="0"/>
        <w:widowControl w:val="0"/>
        <w:kinsoku/>
        <w:overflowPunct/>
        <w:topLinePunct w:val="0"/>
        <w:autoSpaceDE/>
        <w:autoSpaceDN/>
        <w:bidi w:val="0"/>
        <w:adjustRightInd/>
        <w:snapToGrid/>
        <w:spacing w:line="560" w:lineRule="exact"/>
        <w:ind w:firstLine="624" w:firstLineChars="200"/>
        <w:rPr>
          <w:rFonts w:hint="eastAsia" w:ascii="仿宋_GB2312" w:eastAsia="仿宋_GB2312"/>
          <w:color w:val="000000"/>
          <w:sz w:val="32"/>
          <w:szCs w:val="32"/>
        </w:rPr>
      </w:pPr>
      <w:r>
        <w:rPr>
          <w:rFonts w:hint="eastAsia" w:ascii="黑体" w:eastAsia="黑体"/>
          <w:color w:val="000000"/>
          <w:sz w:val="32"/>
          <w:szCs w:val="32"/>
        </w:rPr>
        <w:t xml:space="preserve">第二十二条  </w:t>
      </w:r>
      <w:r>
        <w:rPr>
          <w:rFonts w:hint="eastAsia" w:ascii="仿宋_GB2312" w:eastAsia="仿宋_GB2312"/>
          <w:color w:val="000000"/>
          <w:sz w:val="32"/>
          <w:szCs w:val="32"/>
        </w:rPr>
        <w:t>山海关古城设置店牌店招、户外广告应当与古城风貌相协调。</w:t>
      </w:r>
    </w:p>
    <w:p>
      <w:pPr>
        <w:keepNext w:val="0"/>
        <w:keepLines w:val="0"/>
        <w:pageBreakBefore w:val="0"/>
        <w:widowControl w:val="0"/>
        <w:kinsoku/>
        <w:overflowPunct/>
        <w:topLinePunct w:val="0"/>
        <w:autoSpaceDE/>
        <w:autoSpaceDN/>
        <w:bidi w:val="0"/>
        <w:adjustRightInd/>
        <w:snapToGrid/>
        <w:spacing w:line="560" w:lineRule="exact"/>
        <w:ind w:firstLine="624" w:firstLineChars="200"/>
        <w:rPr>
          <w:rFonts w:hint="eastAsia" w:ascii="仿宋_GB2312" w:eastAsia="仿宋_GB2312"/>
          <w:color w:val="000000"/>
          <w:sz w:val="32"/>
          <w:szCs w:val="32"/>
        </w:rPr>
      </w:pPr>
      <w:r>
        <w:rPr>
          <w:rFonts w:hint="eastAsia" w:ascii="仿宋_GB2312" w:eastAsia="仿宋_GB2312"/>
          <w:color w:val="000000"/>
          <w:sz w:val="32"/>
          <w:szCs w:val="32"/>
        </w:rPr>
        <w:t>区城管执法主管部门应当会同区资源规划、市场监管等主管部门编制店牌店招、户外广告管理专项规划，明确具体设置标准，经区人民政府批准后实施。</w:t>
      </w:r>
    </w:p>
    <w:p>
      <w:pPr>
        <w:keepNext w:val="0"/>
        <w:keepLines w:val="0"/>
        <w:pageBreakBefore w:val="0"/>
        <w:widowControl w:val="0"/>
        <w:kinsoku/>
        <w:overflowPunct/>
        <w:topLinePunct w:val="0"/>
        <w:autoSpaceDE/>
        <w:autoSpaceDN/>
        <w:bidi w:val="0"/>
        <w:adjustRightInd/>
        <w:snapToGrid/>
        <w:spacing w:line="560" w:lineRule="exact"/>
        <w:ind w:firstLine="624" w:firstLineChars="200"/>
        <w:rPr>
          <w:rFonts w:hint="eastAsia" w:ascii="仿宋_GB2312" w:eastAsia="仿宋_GB2312"/>
          <w:color w:val="000000"/>
          <w:sz w:val="32"/>
          <w:szCs w:val="32"/>
        </w:rPr>
      </w:pPr>
      <w:r>
        <w:rPr>
          <w:rFonts w:hint="eastAsia" w:ascii="黑体" w:eastAsia="黑体"/>
          <w:color w:val="000000"/>
          <w:sz w:val="32"/>
          <w:szCs w:val="32"/>
        </w:rPr>
        <w:t xml:space="preserve">第二十三条  </w:t>
      </w:r>
      <w:r>
        <w:rPr>
          <w:rFonts w:hint="eastAsia" w:ascii="仿宋_GB2312" w:eastAsia="仿宋_GB2312"/>
          <w:color w:val="000000"/>
          <w:sz w:val="32"/>
          <w:szCs w:val="32"/>
        </w:rPr>
        <w:t>区人民政府应当制定应急处置预案，综合运用物防、人防、技防等手段，提高山海关古城的防灾减灾救灾能力。</w:t>
      </w:r>
    </w:p>
    <w:p>
      <w:pPr>
        <w:keepNext w:val="0"/>
        <w:keepLines w:val="0"/>
        <w:pageBreakBefore w:val="0"/>
        <w:widowControl w:val="0"/>
        <w:kinsoku/>
        <w:overflowPunct/>
        <w:topLinePunct w:val="0"/>
        <w:autoSpaceDE/>
        <w:autoSpaceDN/>
        <w:bidi w:val="0"/>
        <w:adjustRightInd/>
        <w:snapToGrid/>
        <w:spacing w:line="560" w:lineRule="exact"/>
        <w:ind w:firstLine="624" w:firstLineChars="200"/>
        <w:rPr>
          <w:rFonts w:hint="eastAsia" w:ascii="仿宋_GB2312" w:eastAsia="仿宋_GB2312"/>
          <w:color w:val="000000"/>
          <w:sz w:val="32"/>
          <w:szCs w:val="32"/>
        </w:rPr>
      </w:pPr>
      <w:r>
        <w:rPr>
          <w:rFonts w:hint="eastAsia" w:ascii="仿宋_GB2312" w:eastAsia="仿宋_GB2312"/>
          <w:color w:val="000000"/>
          <w:sz w:val="32"/>
          <w:szCs w:val="32"/>
        </w:rPr>
        <w:t>区消防救援主管部门应当会同区住建、资源规划、文物等主管部门，按照国务院《历史文化名城名镇名村保护条例》要求制定古城消防安全保障方案，并指导有关单位落实消防主体责任。</w:t>
      </w:r>
    </w:p>
    <w:p>
      <w:pPr>
        <w:keepNext w:val="0"/>
        <w:keepLines w:val="0"/>
        <w:pageBreakBefore w:val="0"/>
        <w:widowControl w:val="0"/>
        <w:kinsoku/>
        <w:overflowPunct/>
        <w:topLinePunct w:val="0"/>
        <w:autoSpaceDE/>
        <w:autoSpaceDN/>
        <w:bidi w:val="0"/>
        <w:adjustRightInd/>
        <w:snapToGrid/>
        <w:spacing w:line="560" w:lineRule="exact"/>
        <w:ind w:firstLine="624" w:firstLineChars="200"/>
        <w:rPr>
          <w:rFonts w:hint="eastAsia" w:ascii="黑体" w:eastAsia="黑体"/>
          <w:color w:val="000000"/>
          <w:sz w:val="32"/>
          <w:szCs w:val="32"/>
        </w:rPr>
      </w:pPr>
      <w:r>
        <w:rPr>
          <w:rFonts w:hint="eastAsia" w:ascii="黑体" w:eastAsia="黑体"/>
          <w:color w:val="000000"/>
          <w:sz w:val="32"/>
          <w:szCs w:val="32"/>
        </w:rPr>
        <w:t xml:space="preserve">第二十四条  </w:t>
      </w:r>
      <w:r>
        <w:rPr>
          <w:rFonts w:eastAsia="仿宋_GB2312"/>
          <w:color w:val="000000"/>
          <w:sz w:val="32"/>
          <w:szCs w:val="32"/>
        </w:rPr>
        <w:t>在山海关古城开展大型户外公益活动、群众文化活动、商业活动以及影视摄制等活动，应当经有关主管部门同意，</w:t>
      </w:r>
      <w:r>
        <w:rPr>
          <w:rFonts w:hint="eastAsia" w:eastAsia="仿宋_GB2312"/>
          <w:color w:val="000000"/>
          <w:sz w:val="32"/>
          <w:szCs w:val="32"/>
        </w:rPr>
        <w:t>并按照</w:t>
      </w:r>
      <w:r>
        <w:rPr>
          <w:rFonts w:eastAsia="仿宋_GB2312"/>
          <w:color w:val="000000"/>
          <w:sz w:val="32"/>
          <w:szCs w:val="32"/>
        </w:rPr>
        <w:t>国务院</w:t>
      </w:r>
      <w:r>
        <w:rPr>
          <w:rFonts w:hint="eastAsia" w:eastAsia="仿宋_GB2312"/>
          <w:color w:val="000000"/>
          <w:sz w:val="32"/>
          <w:szCs w:val="32"/>
        </w:rPr>
        <w:t>《大型群众性活动安全管理条例》等</w:t>
      </w:r>
      <w:r>
        <w:rPr>
          <w:rFonts w:eastAsia="仿宋_GB2312"/>
          <w:color w:val="000000"/>
          <w:sz w:val="32"/>
          <w:szCs w:val="32"/>
        </w:rPr>
        <w:t>有关法律法规的规定办理相关手续。</w:t>
      </w:r>
    </w:p>
    <w:p>
      <w:pPr>
        <w:keepNext w:val="0"/>
        <w:keepLines w:val="0"/>
        <w:pageBreakBefore w:val="0"/>
        <w:widowControl w:val="0"/>
        <w:kinsoku/>
        <w:overflowPunct/>
        <w:topLinePunct w:val="0"/>
        <w:autoSpaceDE/>
        <w:autoSpaceDN/>
        <w:bidi w:val="0"/>
        <w:adjustRightInd/>
        <w:snapToGrid/>
        <w:spacing w:line="560" w:lineRule="exact"/>
        <w:ind w:firstLine="624" w:firstLineChars="200"/>
        <w:rPr>
          <w:rFonts w:hint="eastAsia" w:ascii="仿宋_GB2312" w:eastAsia="仿宋_GB2312"/>
          <w:color w:val="000000"/>
          <w:sz w:val="32"/>
          <w:szCs w:val="32"/>
        </w:rPr>
      </w:pPr>
      <w:r>
        <w:rPr>
          <w:rFonts w:hint="eastAsia" w:ascii="黑体" w:eastAsia="黑体"/>
          <w:color w:val="000000"/>
          <w:sz w:val="32"/>
          <w:szCs w:val="32"/>
        </w:rPr>
        <w:t xml:space="preserve">第二十五条  </w:t>
      </w:r>
      <w:r>
        <w:rPr>
          <w:rFonts w:hint="eastAsia" w:ascii="仿宋_GB2312" w:eastAsia="仿宋_GB2312" w:cs="仿宋"/>
          <w:color w:val="000000"/>
          <w:sz w:val="32"/>
          <w:szCs w:val="32"/>
          <w:lang w:bidi="ar-SA"/>
        </w:rPr>
        <w:t>区人民政府应当制定文物、历史建筑以及非物质文化遗产等的传承利用办法，坚持活化利用、以用促保，有序开放展示文物，依托具备条件的文物建筑和历史建筑作为博物馆、陈列馆或者参观游览场所；充分挖掘山海关古城的历史故事、文化价值、精神内涵，突出长城文化、军事文化、民俗文化和移民文化，研究和传承非物质文化遗产，扶持有关专业人才以及民间艺人传徒、授艺，加大宣传推广力度。</w:t>
      </w:r>
    </w:p>
    <w:p>
      <w:pPr>
        <w:keepNext w:val="0"/>
        <w:keepLines w:val="0"/>
        <w:pageBreakBefore w:val="0"/>
        <w:widowControl w:val="0"/>
        <w:kinsoku/>
        <w:overflowPunct/>
        <w:topLinePunct w:val="0"/>
        <w:autoSpaceDE/>
        <w:autoSpaceDN/>
        <w:bidi w:val="0"/>
        <w:adjustRightInd/>
        <w:snapToGrid/>
        <w:spacing w:line="560" w:lineRule="exact"/>
        <w:ind w:firstLine="624" w:firstLineChars="200"/>
        <w:rPr>
          <w:rFonts w:hint="eastAsia" w:ascii="仿宋_GB2312" w:eastAsia="仿宋_GB2312" w:cs="仿宋"/>
          <w:color w:val="000000"/>
          <w:sz w:val="32"/>
          <w:szCs w:val="32"/>
          <w:lang w:bidi="ar-SA"/>
        </w:rPr>
      </w:pPr>
      <w:bookmarkStart w:id="12" w:name="_Hlk99195587"/>
      <w:r>
        <w:rPr>
          <w:rFonts w:hint="eastAsia" w:ascii="黑体" w:eastAsia="黑体"/>
          <w:color w:val="000000"/>
          <w:sz w:val="32"/>
          <w:szCs w:val="32"/>
        </w:rPr>
        <w:t xml:space="preserve">第二十六条  </w:t>
      </w:r>
      <w:bookmarkEnd w:id="12"/>
      <w:r>
        <w:rPr>
          <w:rFonts w:hint="eastAsia" w:ascii="仿宋_GB2312" w:eastAsia="仿宋_GB2312" w:cs="仿宋"/>
          <w:color w:val="000000"/>
          <w:sz w:val="32"/>
          <w:szCs w:val="32"/>
          <w:lang w:bidi="ar-SA"/>
        </w:rPr>
        <w:t>山海关古城的经营业态以有利于传承历史文化和发展具有本地特色的餐饮、文化旅游产业为主导，鼓励开发和推广古城传统美食、传统手工艺品，发展文化创意产业、特色民宿，设立特色主题博物馆、艺术馆、文化研究基地，组织开展传统节庆、特色旅游、文化年以及其他有利于古城保护和历史文化传承、传播的活动。</w:t>
      </w:r>
    </w:p>
    <w:p>
      <w:pPr>
        <w:keepNext w:val="0"/>
        <w:keepLines w:val="0"/>
        <w:pageBreakBefore w:val="0"/>
        <w:widowControl w:val="0"/>
        <w:kinsoku/>
        <w:overflowPunct/>
        <w:topLinePunct w:val="0"/>
        <w:autoSpaceDE/>
        <w:autoSpaceDN/>
        <w:bidi w:val="0"/>
        <w:adjustRightInd/>
        <w:snapToGrid/>
        <w:spacing w:line="560" w:lineRule="exact"/>
        <w:ind w:firstLine="624" w:firstLineChars="200"/>
        <w:rPr>
          <w:rFonts w:hint="eastAsia" w:ascii="仿宋_GB2312" w:eastAsia="仿宋_GB2312" w:cs="仿宋"/>
          <w:color w:val="000000"/>
          <w:sz w:val="32"/>
          <w:szCs w:val="32"/>
          <w:lang w:bidi="ar-SA"/>
        </w:rPr>
      </w:pPr>
      <w:r>
        <w:rPr>
          <w:rFonts w:hint="eastAsia" w:ascii="黑体" w:eastAsia="黑体"/>
          <w:color w:val="000000"/>
          <w:sz w:val="32"/>
          <w:szCs w:val="32"/>
        </w:rPr>
        <w:t xml:space="preserve">第二十七条  </w:t>
      </w:r>
      <w:r>
        <w:rPr>
          <w:rFonts w:hint="eastAsia" w:ascii="仿宋_GB2312" w:eastAsia="仿宋_GB2312" w:cs="仿宋"/>
          <w:color w:val="000000"/>
          <w:sz w:val="32"/>
          <w:szCs w:val="32"/>
          <w:lang w:bidi="ar-SA"/>
        </w:rPr>
        <w:t>鼓励吸收社会资本合理利用山海关古城资源发展文化旅游等相关产业。</w:t>
      </w:r>
    </w:p>
    <w:p>
      <w:pPr>
        <w:keepNext w:val="0"/>
        <w:keepLines w:val="0"/>
        <w:pageBreakBefore w:val="0"/>
        <w:widowControl w:val="0"/>
        <w:kinsoku/>
        <w:overflowPunct/>
        <w:topLinePunct w:val="0"/>
        <w:autoSpaceDE/>
        <w:autoSpaceDN/>
        <w:bidi w:val="0"/>
        <w:adjustRightInd/>
        <w:snapToGrid/>
        <w:spacing w:line="560" w:lineRule="exact"/>
        <w:ind w:firstLine="624" w:firstLineChars="200"/>
        <w:rPr>
          <w:rFonts w:hint="eastAsia" w:ascii="仿宋_GB2312" w:eastAsia="仿宋_GB2312" w:cs="仿宋"/>
          <w:color w:val="000000"/>
          <w:sz w:val="32"/>
          <w:szCs w:val="32"/>
          <w:lang w:bidi="ar-SA"/>
        </w:rPr>
      </w:pPr>
      <w:r>
        <w:rPr>
          <w:rFonts w:hint="eastAsia" w:ascii="仿宋_GB2312" w:eastAsia="仿宋_GB2312" w:cs="仿宋"/>
          <w:color w:val="000000"/>
          <w:sz w:val="32"/>
          <w:szCs w:val="32"/>
          <w:lang w:bidi="ar-SA"/>
        </w:rPr>
        <w:t>单位和个人自愿投入资金保护修缮市级和区级文物保护单位、尚未核定为文物保护单位的不可移动文物、历史建筑的，可以在不改变所有权的前提下，给予一定期限的使用权。</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 w:eastAsia="仿宋" w:cs="仿宋"/>
          <w:color w:val="000000"/>
          <w:sz w:val="32"/>
          <w:szCs w:val="32"/>
          <w:lang w:bidi="ar-SA"/>
        </w:rPr>
      </w:pPr>
      <w:bookmarkStart w:id="13" w:name="_Hlk99193420"/>
      <w:bookmarkStart w:id="14" w:name="_Hlk99196790"/>
      <w:r>
        <w:rPr>
          <w:rFonts w:hint="eastAsia" w:ascii="黑体" w:eastAsia="黑体"/>
          <w:color w:val="000000"/>
          <w:sz w:val="32"/>
          <w:szCs w:val="32"/>
        </w:rPr>
        <w:t xml:space="preserve">第二十八条  </w:t>
      </w:r>
      <w:bookmarkEnd w:id="13"/>
      <w:r>
        <w:rPr>
          <w:rFonts w:hint="eastAsia" w:ascii="仿宋_GB2312" w:eastAsia="仿宋_GB2312" w:cs="仿宋"/>
          <w:color w:val="000000"/>
          <w:sz w:val="32"/>
          <w:szCs w:val="32"/>
          <w:lang w:bidi="ar-SA"/>
        </w:rPr>
        <w:t>区人民政府应当确定山海关古城标志，按照知识产权法律法规加强山海关古城标志的保护和利用。使用山海关古城标志的，由区人民政府按照有关规定予以授权；未经授权，任何单位和个人不得以营利为目的使用山海关古城标志。</w:t>
      </w:r>
    </w:p>
    <w:bookmarkEnd w:id="8"/>
    <w:bookmarkEnd w:id="10"/>
    <w:bookmarkEnd w:id="14"/>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
          <w:color w:val="000000"/>
          <w:sz w:val="32"/>
          <w:szCs w:val="32"/>
          <w:lang w:bidi="ar-SA"/>
        </w:rPr>
      </w:pPr>
      <w:bookmarkStart w:id="15" w:name="_Hlk38466805"/>
      <w:r>
        <w:rPr>
          <w:rFonts w:hint="eastAsia" w:ascii="黑体" w:eastAsia="黑体"/>
          <w:color w:val="000000"/>
          <w:sz w:val="32"/>
          <w:szCs w:val="32"/>
        </w:rPr>
        <w:t>第二十九条</w:t>
      </w:r>
      <w:r>
        <w:rPr>
          <w:rFonts w:hint="eastAsia" w:ascii="黑体" w:eastAsia="黑体"/>
          <w:bCs/>
          <w:sz w:val="32"/>
          <w:szCs w:val="32"/>
        </w:rPr>
        <w:t xml:space="preserve">  </w:t>
      </w:r>
      <w:r>
        <w:rPr>
          <w:rFonts w:hint="eastAsia" w:ascii="仿宋_GB2312" w:eastAsia="仿宋_GB2312"/>
          <w:sz w:val="32"/>
          <w:szCs w:val="32"/>
        </w:rPr>
        <w:t>违反本条例第十四条第二款规定，在历史风貌区和历史街巷沿街建（构）筑物的临街立面安装、使用与山海关古城传统风貌冲突的设施和建筑材料，</w:t>
      </w:r>
      <w:r>
        <w:rPr>
          <w:rFonts w:hint="eastAsia" w:ascii="仿宋_GB2312" w:eastAsia="仿宋_GB2312"/>
          <w:bCs/>
          <w:sz w:val="32"/>
          <w:szCs w:val="32"/>
        </w:rPr>
        <w:t>对传统格局、历史风貌构成破坏性影响</w:t>
      </w:r>
      <w:r>
        <w:rPr>
          <w:rFonts w:hint="eastAsia" w:ascii="仿宋_GB2312" w:eastAsia="仿宋_GB2312"/>
          <w:sz w:val="32"/>
          <w:szCs w:val="32"/>
        </w:rPr>
        <w:t>的，由区资源规划主管部门责令停止违法行为、限期恢复原状或者采取其他补救措施；有违法所得的，没收违法所得；</w:t>
      </w:r>
      <w:r>
        <w:rPr>
          <w:rFonts w:hint="eastAsia" w:ascii="仿宋_GB2312" w:eastAsia="仿宋_GB2312"/>
          <w:bCs/>
          <w:sz w:val="32"/>
          <w:szCs w:val="32"/>
        </w:rPr>
        <w:t>造成严重后果</w:t>
      </w:r>
      <w:r>
        <w:rPr>
          <w:rFonts w:hint="eastAsia" w:ascii="仿宋_GB2312" w:eastAsia="仿宋_GB2312"/>
          <w:sz w:val="32"/>
          <w:szCs w:val="32"/>
        </w:rPr>
        <w:t>的，对单位并处五万元以上十万元以下的罚款，对个人并处一万元以上五万元以下的罚款；造成损失的，依法承担赔偿责任。</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
          <w:color w:val="000000"/>
          <w:sz w:val="32"/>
          <w:szCs w:val="32"/>
          <w:lang w:bidi="ar-SA"/>
        </w:rPr>
      </w:pPr>
      <w:r>
        <w:rPr>
          <w:rFonts w:hint="eastAsia" w:ascii="黑体" w:eastAsia="黑体"/>
          <w:color w:val="000000"/>
          <w:sz w:val="32"/>
          <w:szCs w:val="32"/>
        </w:rPr>
        <w:t xml:space="preserve">第三十条  </w:t>
      </w:r>
      <w:bookmarkStart w:id="16" w:name="_Hlk38467017"/>
      <w:r>
        <w:rPr>
          <w:rFonts w:eastAsia="仿宋_GB2312"/>
          <w:color w:val="000000"/>
          <w:sz w:val="32"/>
          <w:szCs w:val="32"/>
        </w:rPr>
        <w:t>违反</w:t>
      </w:r>
      <w:r>
        <w:rPr>
          <w:rFonts w:hint="eastAsia" w:ascii="仿宋_GB2312" w:eastAsia="仿宋_GB2312" w:cs="仿宋"/>
          <w:color w:val="000000"/>
          <w:sz w:val="32"/>
          <w:szCs w:val="32"/>
          <w:lang w:bidi="ar-SA"/>
        </w:rPr>
        <w:t>本条例第十六条第二款规定，擅自对历史建筑进行外部修缮装饰、添加设施以及改变历史建筑的结构或者使用性质的，由区住建主管部门责令停止违法行为、限期恢复原状或者采取其他补救措施；有违法所得的，没收违法所得；逾期不恢复原状或者不采取其他补救措施的，区住建主管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
          <w:color w:val="000000"/>
          <w:sz w:val="32"/>
          <w:szCs w:val="32"/>
          <w:lang w:bidi="ar-SA"/>
        </w:rPr>
      </w:pPr>
      <w:bookmarkStart w:id="17" w:name="_Hlk99197357"/>
      <w:r>
        <w:rPr>
          <w:rFonts w:hint="eastAsia" w:ascii="黑体" w:eastAsia="黑体" w:cs="黑体"/>
          <w:color w:val="000000"/>
          <w:sz w:val="32"/>
          <w:szCs w:val="32"/>
          <w:lang w:bidi="ar-SA"/>
        </w:rPr>
        <w:t xml:space="preserve">第三十一条  </w:t>
      </w:r>
      <w:bookmarkEnd w:id="16"/>
      <w:bookmarkEnd w:id="17"/>
      <w:bookmarkStart w:id="18" w:name="_Hlk38467096"/>
      <w:r>
        <w:rPr>
          <w:rFonts w:hint="eastAsia" w:ascii="仿宋_GB2312" w:eastAsia="仿宋_GB2312"/>
          <w:sz w:val="32"/>
          <w:szCs w:val="32"/>
        </w:rPr>
        <w:t>违反本条例第十七条第二款规定，改变传统风貌建筑外观特色和院落格局，</w:t>
      </w:r>
      <w:r>
        <w:rPr>
          <w:rFonts w:hint="eastAsia" w:ascii="仿宋_GB2312" w:eastAsia="仿宋_GB2312"/>
          <w:bCs/>
          <w:sz w:val="32"/>
          <w:szCs w:val="32"/>
        </w:rPr>
        <w:t>对传统格局、历史风貌构成破坏性影响</w:t>
      </w:r>
      <w:r>
        <w:rPr>
          <w:rFonts w:hint="eastAsia" w:ascii="仿宋_GB2312" w:eastAsia="仿宋_GB2312"/>
          <w:sz w:val="32"/>
          <w:szCs w:val="32"/>
        </w:rPr>
        <w:t>的，</w:t>
      </w:r>
      <w:r>
        <w:rPr>
          <w:rFonts w:hint="eastAsia" w:ascii="仿宋_GB2312" w:eastAsia="仿宋_GB2312"/>
          <w:bCs/>
          <w:sz w:val="32"/>
          <w:szCs w:val="32"/>
        </w:rPr>
        <w:t>由区资源规划主管部门责令停止违法行为、限期恢复原状或者采取其他补救措施；有违法所得的，没收违法所得；造成严重后果</w:t>
      </w:r>
      <w:r>
        <w:rPr>
          <w:rFonts w:hint="eastAsia" w:ascii="仿宋_GB2312" w:eastAsia="仿宋_GB2312"/>
          <w:sz w:val="32"/>
          <w:szCs w:val="32"/>
        </w:rPr>
        <w:t>的，对单位并处五万元以上十万元以下的罚款，对个人并处一万元以上五万元以下的罚款；造成损失的，依法承担赔偿责任。</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s="仿宋"/>
          <w:bCs/>
          <w:color w:val="000000"/>
          <w:sz w:val="32"/>
          <w:szCs w:val="32"/>
          <w:lang w:bidi="ar-SA"/>
        </w:rPr>
      </w:pPr>
      <w:r>
        <w:rPr>
          <w:rFonts w:hint="eastAsia" w:ascii="黑体" w:eastAsia="黑体" w:cs="Times New Roman"/>
          <w:color w:val="000000"/>
          <w:sz w:val="32"/>
          <w:szCs w:val="32"/>
          <w:lang w:bidi="ar-SA"/>
        </w:rPr>
        <w:t xml:space="preserve">第三十二条  </w:t>
      </w:r>
      <w:r>
        <w:rPr>
          <w:rFonts w:hint="eastAsia" w:ascii="仿宋_GB2312" w:eastAsia="仿宋_GB2312" w:cs="仿宋"/>
          <w:bCs/>
          <w:color w:val="000000"/>
          <w:sz w:val="32"/>
          <w:szCs w:val="32"/>
          <w:lang w:bidi="ar-SA"/>
        </w:rPr>
        <w:t>违反本条例第二十二条规定，设置店牌店招、户外广告影响山海关古城风貌的，由区城管执法主管部门责令停止违法行为、限期改正；逾期不改正的，处五千元以上一万元以下</w:t>
      </w:r>
      <w:r>
        <w:rPr>
          <w:rFonts w:ascii="仿宋_GB2312" w:eastAsia="仿宋_GB2312" w:cs="仿宋"/>
          <w:bCs/>
          <w:color w:val="000000"/>
          <w:sz w:val="32"/>
          <w:szCs w:val="32"/>
          <w:lang w:bidi="ar-SA"/>
        </w:rPr>
        <w:t>的</w:t>
      </w:r>
      <w:r>
        <w:rPr>
          <w:rFonts w:hint="eastAsia" w:ascii="仿宋_GB2312" w:eastAsia="仿宋_GB2312" w:cs="仿宋"/>
          <w:bCs/>
          <w:color w:val="000000"/>
          <w:sz w:val="32"/>
          <w:szCs w:val="32"/>
          <w:lang w:bidi="ar-SA"/>
        </w:rPr>
        <w:t>罚款；有违法所得的，处违法所得一倍以上三倍以下但最高不超过三万元的罚款；造成损失的，依法承担赔偿责任。</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 w:eastAsia="仿宋" w:cs="仿宋"/>
          <w:color w:val="000000"/>
          <w:sz w:val="32"/>
          <w:szCs w:val="32"/>
          <w:shd w:val="solid" w:color="FFCC99" w:fill="FFFFFF"/>
          <w:lang w:bidi="ar-SA"/>
        </w:rPr>
      </w:pPr>
      <w:r>
        <w:rPr>
          <w:rFonts w:hint="eastAsia" w:ascii="黑体" w:eastAsia="黑体" w:cs="仿宋_GB2312"/>
          <w:bCs/>
          <w:color w:val="000000"/>
          <w:kern w:val="0"/>
          <w:sz w:val="32"/>
          <w:szCs w:val="32"/>
          <w:lang w:bidi="ar-SA"/>
        </w:rPr>
        <w:t>第三十三</w:t>
      </w:r>
      <w:bookmarkEnd w:id="18"/>
      <w:r>
        <w:rPr>
          <w:rFonts w:hint="eastAsia" w:ascii="黑体" w:eastAsia="黑体" w:cs="仿宋_GB2312"/>
          <w:bCs/>
          <w:color w:val="000000"/>
          <w:kern w:val="0"/>
          <w:sz w:val="32"/>
          <w:szCs w:val="32"/>
          <w:lang w:bidi="ar-SA"/>
        </w:rPr>
        <w:t xml:space="preserve">条  </w:t>
      </w:r>
      <w:bookmarkStart w:id="19" w:name="_Hlk38467129"/>
      <w:r>
        <w:rPr>
          <w:rFonts w:hint="eastAsia" w:ascii="仿宋_GB2312" w:eastAsia="仿宋_GB2312" w:cs="仿宋"/>
          <w:color w:val="000000"/>
          <w:sz w:val="32"/>
          <w:szCs w:val="32"/>
          <w:lang w:bidi="ar-SA"/>
        </w:rPr>
        <w:t>负有山海关古城保护相关职责的有关</w:t>
      </w:r>
      <w:r>
        <w:rPr>
          <w:rFonts w:hint="eastAsia" w:ascii="仿宋_GB2312" w:eastAsia="仿宋_GB2312" w:cs="仿宋"/>
          <w:color w:val="000000"/>
          <w:kern w:val="0"/>
          <w:sz w:val="32"/>
          <w:szCs w:val="32"/>
          <w:lang w:bidi="ar-SA"/>
        </w:rPr>
        <w:t>国家机关以及其他单位的公职</w:t>
      </w:r>
      <w:r>
        <w:rPr>
          <w:rFonts w:hint="eastAsia" w:ascii="仿宋_GB2312" w:eastAsia="仿宋_GB2312" w:cs="仿宋"/>
          <w:color w:val="000000"/>
          <w:sz w:val="32"/>
          <w:szCs w:val="32"/>
          <w:lang w:bidi="ar-SA"/>
        </w:rPr>
        <w:t>人员在古城保护工作中徇私舞弊、滥用职权、玩忽职守的，依法给予处分。</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黑体" w:eastAsia="黑体" w:cs="Times New Roman"/>
          <w:color w:val="000000"/>
          <w:sz w:val="32"/>
          <w:szCs w:val="32"/>
          <w:lang w:bidi="ar-SA"/>
        </w:rPr>
      </w:pPr>
      <w:r>
        <w:rPr>
          <w:rFonts w:hint="eastAsia" w:ascii="黑体" w:eastAsia="黑体" w:cs="Times New Roman"/>
          <w:color w:val="000000"/>
          <w:sz w:val="32"/>
          <w:szCs w:val="32"/>
          <w:lang w:bidi="ar-SA"/>
        </w:rPr>
        <w:t xml:space="preserve">第三十四条  </w:t>
      </w:r>
      <w:r>
        <w:rPr>
          <w:rFonts w:hint="eastAsia" w:ascii="仿宋_GB2312" w:eastAsia="仿宋_GB2312" w:cs="仿宋"/>
          <w:color w:val="000000"/>
          <w:kern w:val="0"/>
          <w:sz w:val="32"/>
          <w:szCs w:val="32"/>
          <w:lang w:bidi="ar-SA"/>
        </w:rPr>
        <w:t>违反本条例规定的行为，构成犯罪的，依法追究刑事责任。</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黑体" w:eastAsia="黑体"/>
          <w:color w:val="000000"/>
          <w:sz w:val="32"/>
          <w:szCs w:val="32"/>
        </w:rPr>
        <w:t>第三十</w:t>
      </w:r>
      <w:r>
        <w:rPr>
          <w:rFonts w:hint="eastAsia" w:ascii="黑体" w:eastAsia="黑体"/>
          <w:bCs/>
          <w:color w:val="000000"/>
          <w:sz w:val="32"/>
          <w:szCs w:val="32"/>
        </w:rPr>
        <w:t>五</w:t>
      </w:r>
      <w:r>
        <w:rPr>
          <w:rFonts w:hint="eastAsia" w:ascii="黑体" w:eastAsia="黑体"/>
          <w:color w:val="000000"/>
          <w:sz w:val="32"/>
          <w:szCs w:val="32"/>
        </w:rPr>
        <w:t xml:space="preserve">条  </w:t>
      </w:r>
      <w:r>
        <w:rPr>
          <w:rFonts w:hint="eastAsia" w:ascii="仿宋_GB2312" w:eastAsia="仿宋_GB2312" w:cs="仿宋"/>
          <w:color w:val="000000"/>
          <w:sz w:val="32"/>
          <w:szCs w:val="32"/>
          <w:lang w:bidi="ar-SA"/>
        </w:rPr>
        <w:t>市、区人民政府应当按照本条例规定制定具体实施细则或者相关管理办法。</w:t>
      </w:r>
    </w:p>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黑体" w:eastAsia="黑体"/>
          <w:color w:val="000000"/>
          <w:sz w:val="32"/>
          <w:szCs w:val="32"/>
        </w:rPr>
      </w:pPr>
      <w:r>
        <w:rPr>
          <w:rFonts w:hint="eastAsia" w:ascii="黑体" w:eastAsia="黑体"/>
          <w:bCs/>
          <w:color w:val="000000"/>
          <w:sz w:val="32"/>
          <w:szCs w:val="32"/>
        </w:rPr>
        <w:t xml:space="preserve">第三十六条  </w:t>
      </w:r>
      <w:r>
        <w:rPr>
          <w:rFonts w:hint="eastAsia" w:ascii="仿宋_GB2312" w:eastAsia="仿宋_GB2312"/>
          <w:color w:val="000000"/>
          <w:sz w:val="32"/>
          <w:szCs w:val="32"/>
        </w:rPr>
        <w:t>本条例所称“区”指山海关区；所称“镇人民政府、街道办事处”指山海关区相关镇人民政府、街道办事处；所称“保护规划”指《山海关历史文化名城保护规划》。</w:t>
      </w:r>
    </w:p>
    <w:bookmarkEnd w:id="19"/>
    <w:p>
      <w:pPr>
        <w:pStyle w:val="20"/>
        <w:keepNext w:val="0"/>
        <w:keepLines w:val="0"/>
        <w:pageBreakBefore w:val="0"/>
        <w:widowControl w:val="0"/>
        <w:kinsoku/>
        <w:overflowPunct/>
        <w:topLinePunct w:val="0"/>
        <w:autoSpaceDE/>
        <w:autoSpaceDN/>
        <w:bidi w:val="0"/>
        <w:adjustRightInd/>
        <w:snapToGrid/>
        <w:spacing w:after="0" w:line="560" w:lineRule="exact"/>
        <w:ind w:left="0" w:leftChars="0"/>
        <w:rPr>
          <w:rFonts w:hint="eastAsia" w:ascii="仿宋_GB2312" w:eastAsia="仿宋_GB2312"/>
          <w:color w:val="000000"/>
          <w:sz w:val="32"/>
          <w:szCs w:val="32"/>
        </w:rPr>
      </w:pPr>
      <w:r>
        <w:rPr>
          <w:rFonts w:hint="eastAsia" w:ascii="黑体" w:eastAsia="黑体"/>
          <w:color w:val="000000"/>
          <w:sz w:val="32"/>
          <w:szCs w:val="32"/>
        </w:rPr>
        <w:t>第三十七</w:t>
      </w:r>
      <w:r>
        <w:rPr>
          <w:rFonts w:hint="eastAsia" w:ascii="黑体" w:eastAsia="黑体"/>
          <w:bCs/>
          <w:color w:val="000000"/>
          <w:sz w:val="32"/>
          <w:szCs w:val="32"/>
        </w:rPr>
        <w:t xml:space="preserve">条  </w:t>
      </w:r>
      <w:r>
        <w:rPr>
          <w:rFonts w:hint="eastAsia" w:ascii="仿宋_GB2312" w:eastAsia="仿宋_GB2312"/>
          <w:color w:val="000000"/>
          <w:sz w:val="32"/>
          <w:szCs w:val="32"/>
        </w:rPr>
        <w:t>本条例自</w:t>
      </w:r>
      <w:r>
        <w:rPr>
          <w:rFonts w:hint="eastAsia" w:ascii="Times New Roman" w:hAnsi="Times New Roman" w:eastAsia="仿宋_GB2312"/>
          <w:color w:val="000000"/>
          <w:sz w:val="32"/>
          <w:szCs w:val="32"/>
        </w:rPr>
        <w:t>2022</w:t>
      </w:r>
      <w:r>
        <w:rPr>
          <w:rFonts w:hint="eastAsia" w:ascii="仿宋_GB2312" w:eastAsia="仿宋_GB2312"/>
          <w:color w:val="000000"/>
          <w:sz w:val="32"/>
          <w:szCs w:val="32"/>
        </w:rPr>
        <w:t>年</w:t>
      </w:r>
      <w:r>
        <w:rPr>
          <w:rFonts w:hint="eastAsia" w:ascii="Times New Roman" w:hAnsi="Times New Roman" w:eastAsia="仿宋_GB2312"/>
          <w:color w:val="000000"/>
          <w:sz w:val="32"/>
          <w:szCs w:val="32"/>
        </w:rPr>
        <w:t>9</w:t>
      </w:r>
      <w:r>
        <w:rPr>
          <w:rFonts w:hint="eastAsia" w:ascii="仿宋_GB2312" w:eastAsia="仿宋_GB2312"/>
          <w:color w:val="000000"/>
          <w:sz w:val="32"/>
          <w:szCs w:val="32"/>
        </w:rPr>
        <w:t>月</w:t>
      </w:r>
      <w:r>
        <w:rPr>
          <w:rFonts w:hint="eastAsia" w:ascii="Times New Roman" w:hAnsi="Times New Roman" w:eastAsia="仿宋_GB2312"/>
          <w:color w:val="000000"/>
          <w:sz w:val="32"/>
          <w:szCs w:val="32"/>
        </w:rPr>
        <w:t>1</w:t>
      </w:r>
      <w:r>
        <w:rPr>
          <w:rFonts w:hint="eastAsia" w:ascii="仿宋_GB2312" w:eastAsia="仿宋_GB2312"/>
          <w:color w:val="000000"/>
          <w:sz w:val="32"/>
          <w:szCs w:val="32"/>
        </w:rPr>
        <w:t>日起施行。</w:t>
      </w:r>
      <w:bookmarkEnd w:id="15"/>
    </w:p>
    <w:sectPr>
      <w:headerReference r:id="rId3" w:type="default"/>
      <w:footerReference r:id="rId5" w:type="default"/>
      <w:headerReference r:id="rId4" w:type="even"/>
      <w:footerReference r:id="rId6" w:type="even"/>
      <w:pgSz w:w="11907" w:h="16840"/>
      <w:pgMar w:top="2098" w:right="1474" w:bottom="2098" w:left="1474" w:header="851" w:footer="1221" w:gutter="0"/>
      <w:pgNumType w:fmt="numberInDash"/>
      <w:cols w:space="720" w:num="1"/>
      <w:docGrid w:type="linesAndChars" w:linePitch="579" w:charSpace="-18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auto"/>
    <w:pitch w:val="default"/>
    <w:sig w:usb0="A00002BF" w:usb1="184F6CFA" w:usb2="00000012" w:usb3="00000000" w:csb0="00040001" w:csb1="00000000"/>
  </w:font>
  <w:font w:name="方正书宋简体">
    <w:altName w:val="方正书宋_GBK"/>
    <w:panose1 w:val="02010601030101010101"/>
    <w:charset w:val="86"/>
    <w:family w:val="auto"/>
    <w:pitch w:val="default"/>
    <w:sig w:usb0="00000000" w:usb1="00000000" w:usb2="00000010" w:usb3="00000000" w:csb0="00040000" w:csb1="00000000"/>
  </w:font>
  <w:font w:name="宋体-方正超大字符集">
    <w:altName w:val="方正书宋_GBK"/>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等线">
    <w:altName w:val="华文仿宋"/>
    <w:panose1 w:val="02010600030101010101"/>
    <w:charset w:val="86"/>
    <w:family w:val="auto"/>
    <w:pitch w:val="default"/>
    <w:sig w:usb0="00000000" w:usb1="00000000" w:usb2="00000016" w:usb3="00000000" w:csb0="0004000F" w:csb1="00000000"/>
  </w:font>
  <w:font w:name="Tahoma">
    <w:altName w:val="Ubuntu"/>
    <w:panose1 w:val="020B0604030504040204"/>
    <w:charset w:val="00"/>
    <w:family w:val="swiss"/>
    <w:pitch w:val="default"/>
    <w:sig w:usb0="00000000" w:usb1="00000000" w:usb2="00000029" w:usb3="00000000" w:csb0="000101FF" w:csb1="00000000"/>
  </w:font>
  <w:font w:name="宋体 (serif)">
    <w:altName w:val="方正书宋_GBK"/>
    <w:panose1 w:val="00000000000000000000"/>
    <w:charset w:val="00"/>
    <w:family w:val="auto"/>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华文仿宋">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560" w:lineRule="exact"/>
      <w:ind w:left="210" w:leftChars="100" w:right="210" w:rightChars="100"/>
      <w:jc w:val="right"/>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560" w:lineRule="exact"/>
      <w:ind w:left="210" w:leftChars="100" w:right="210" w:rightChars="100"/>
      <w:rPr>
        <w:rFonts w:hint="eastAsia"/>
      </w:rPr>
    </w:pPr>
    <w:r>
      <w:rPr>
        <w:sz w:val="18"/>
      </w:rPr>
      <mc:AlternateContent>
        <mc:Choice Requires="wps">
          <w:drawing>
            <wp:anchor distT="0" distB="0" distL="114300" distR="114300" simplePos="0" relativeHeight="251659264" behindDoc="0" locked="0" layoutInCell="1" allowOverlap="1">
              <wp:simplePos x="0" y="0"/>
              <wp:positionH relativeFrom="margin">
                <wp:posOffset>228600</wp:posOffset>
              </wp:positionH>
              <wp:positionV relativeFrom="paragraph">
                <wp:posOffset>-19050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8pt;margin-top:-1.5pt;height:144pt;width:144pt;mso-position-horizontal-relative:margin;mso-wrap-style:none;z-index:251659264;mso-width-relative:page;mso-height-relative:page;" filled="f" stroked="f" coordsize="21600,21600" o:gfxdata="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B034Ug1wAAAAkBAAAPAAAAAAAAAAEAIAAAADgAAABkcnMvZG93bnJldi54bWxQSwECFAAU&#10;AAAACACHTuJAm9IMLxUCAAATBAAADgAAAAAAAAABACAAAAA8AQAAZHJzL2Uyb0RvYy54bWxQSwUG&#10;AAAAAAYABgBZAQAAwwU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mirrorMargins w:val="1"/>
  <w:bordersDoNotSurroundHeader w:val="1"/>
  <w:bordersDoNotSurroundFooter w:val="1"/>
  <w:documentProtection w:enforcement="0"/>
  <w:defaultTabStop w:val="425"/>
  <w:evenAndOddHeaders w:val="1"/>
  <w:drawingGridHorizontalSpacing w:val="96"/>
  <w:drawingGridVerticalSpacing w:val="579"/>
  <w:displayHorizontalDrawingGridEvery w:val="0"/>
  <w:displayVerticalDrawingGridEvery w:val="1"/>
  <w:characterSpacingControl w:val="compressPunctuation"/>
  <w:compat>
    <w:spaceForUL/>
    <w:balanceSingleByteDoubleByteWidth/>
    <w:ulTrailSpace/>
    <w:doNotExpandShiftReturn/>
    <w:alignTablesRowByRow/>
    <w:doNotUseHTMLParagraphAutoSpacing/>
    <w:doNotBreakWrappedTables/>
    <w:growAutofit/>
    <w:useFELayout/>
    <w:useAltKinsokuLineBreakRules/>
    <w:splitPgBreakAndParaMark/>
    <w:compatSetting w:name="compatibilityMode" w:uri="http://schemas.microsoft.com/office/word" w:val="14"/>
  </w:compat>
  <w:rsids>
    <w:rsidRoot w:val="00000000"/>
    <w:rsid w:val="72BF5462"/>
    <w:rsid w:val="DDFF9E09"/>
    <w:rsid w:val="E5BF4057"/>
    <w:rsid w:val="FFD77EBE"/>
    <w:rsid w:val="FFEF9A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next w:val="1"/>
    <w:qFormat/>
    <w:uiPriority w:val="0"/>
    <w:pPr>
      <w:keepNext/>
      <w:keepLines/>
      <w:widowControl w:val="0"/>
      <w:spacing w:line="590" w:lineRule="exact"/>
      <w:jc w:val="center"/>
      <w:outlineLvl w:val="0"/>
    </w:pPr>
    <w:rPr>
      <w:rFonts w:ascii="方正小标宋简体" w:hAnsi="Times New Roman" w:eastAsia="方正小标宋简体" w:cs="方正小标宋简体"/>
      <w:kern w:val="44"/>
      <w:sz w:val="44"/>
      <w:szCs w:val="24"/>
      <w:lang w:val="en-US" w:eastAsia="zh-CN" w:bidi="ar-SA"/>
    </w:rPr>
  </w:style>
  <w:style w:type="paragraph" w:styleId="3">
    <w:name w:val="heading 2"/>
    <w:next w:val="1"/>
    <w:qFormat/>
    <w:uiPriority w:val="0"/>
    <w:pPr>
      <w:widowControl w:val="0"/>
      <w:spacing w:beforeAutospacing="1" w:afterAutospacing="1"/>
      <w:outlineLvl w:val="1"/>
    </w:pPr>
    <w:rPr>
      <w:rFonts w:ascii="宋体" w:hAnsi="Times New Roman" w:eastAsia="宋体" w:cs="Times New Roman"/>
      <w:b/>
      <w:bCs/>
      <w:sz w:val="36"/>
      <w:szCs w:val="36"/>
      <w:lang w:val="en-US" w:eastAsia="zh-CN" w:bidi="ar-SA"/>
    </w:rPr>
  </w:style>
  <w:style w:type="paragraph" w:styleId="4">
    <w:name w:val="heading 3"/>
    <w:basedOn w:val="1"/>
    <w:next w:val="1"/>
    <w:qFormat/>
    <w:uiPriority w:val="0"/>
    <w:pPr>
      <w:keepNext/>
      <w:keepLines/>
      <w:widowControl w:val="0"/>
      <w:spacing w:before="260" w:after="260" w:line="415" w:lineRule="auto"/>
      <w:outlineLvl w:val="2"/>
    </w:pPr>
    <w:rPr>
      <w:b/>
      <w:sz w:val="32"/>
    </w:rPr>
  </w:style>
  <w:style w:type="character" w:default="1" w:styleId="23">
    <w:name w:val="Default Paragraph Font"/>
    <w:qFormat/>
    <w:uiPriority w:val="0"/>
  </w:style>
  <w:style w:type="table" w:default="1" w:styleId="22">
    <w:name w:val="Normal Table"/>
    <w:semiHidden/>
    <w:qFormat/>
    <w:uiPriority w:val="0"/>
    <w:tblPr>
      <w:tblCellMar>
        <w:top w:w="0" w:type="dxa"/>
        <w:left w:w="108" w:type="dxa"/>
        <w:bottom w:w="0" w:type="dxa"/>
        <w:right w:w="108" w:type="dxa"/>
      </w:tblCellMar>
    </w:tblPr>
  </w:style>
  <w:style w:type="paragraph" w:styleId="5">
    <w:name w:val="caption"/>
    <w:basedOn w:val="1"/>
    <w:next w:val="1"/>
    <w:qFormat/>
    <w:uiPriority w:val="0"/>
    <w:pPr>
      <w:spacing w:before="152" w:after="160"/>
    </w:pPr>
    <w:rPr>
      <w:rFonts w:ascii="Arial" w:hAnsi="Arial" w:eastAsia="黑体"/>
    </w:rPr>
  </w:style>
  <w:style w:type="paragraph" w:styleId="6">
    <w:name w:val="toa heading"/>
    <w:next w:val="1"/>
    <w:qFormat/>
    <w:uiPriority w:val="0"/>
    <w:pPr>
      <w:widowControl w:val="0"/>
      <w:spacing w:before="120"/>
      <w:jc w:val="both"/>
    </w:pPr>
    <w:rPr>
      <w:rFonts w:ascii="Arial" w:hAnsi="Arial" w:eastAsia="宋体" w:cs="Arial"/>
      <w:kern w:val="2"/>
      <w:sz w:val="24"/>
      <w:szCs w:val="24"/>
      <w:lang w:val="en-US" w:eastAsia="zh-CN" w:bidi="ar-SA"/>
    </w:rPr>
  </w:style>
  <w:style w:type="paragraph" w:styleId="7">
    <w:name w:val="annotation text"/>
    <w:next w:val="8"/>
    <w:qFormat/>
    <w:uiPriority w:val="0"/>
    <w:pPr>
      <w:widowControl w:val="0"/>
      <w:jc w:val="both"/>
    </w:pPr>
    <w:rPr>
      <w:rFonts w:ascii="Times New Roman" w:hAnsi="Times New Roman" w:eastAsia="宋体" w:cs="Times New Roman"/>
      <w:kern w:val="2"/>
      <w:sz w:val="20"/>
      <w:szCs w:val="20"/>
      <w:lang w:val="en-US" w:eastAsia="zh-CN" w:bidi="ar-SA"/>
    </w:rPr>
  </w:style>
  <w:style w:type="paragraph" w:customStyle="1" w:styleId="8">
    <w:name w:val="正文名录内容"/>
    <w:basedOn w:val="1"/>
    <w:qFormat/>
    <w:uiPriority w:val="0"/>
    <w:pPr>
      <w:tabs>
        <w:tab w:val="left" w:pos="900"/>
        <w:tab w:val="left" w:pos="2160"/>
        <w:tab w:val="left" w:pos="2340"/>
      </w:tabs>
      <w:spacing w:line="380" w:lineRule="exact"/>
      <w:ind w:firstLine="1000" w:firstLineChars="1000"/>
    </w:pPr>
    <w:rPr>
      <w:rFonts w:ascii="方正书宋简体" w:eastAsia="方正书宋简体" w:cs="宋体-方正超大字符集"/>
      <w:color w:val="FF0000"/>
      <w:spacing w:val="6"/>
      <w:sz w:val="23"/>
      <w:szCs w:val="23"/>
      <w:lang w:bidi="ar-SA"/>
    </w:rPr>
  </w:style>
  <w:style w:type="paragraph" w:styleId="9">
    <w:name w:val="Body Text"/>
    <w:next w:val="10"/>
    <w:qFormat/>
    <w:uiPriority w:val="0"/>
    <w:pPr>
      <w:widowControl w:val="0"/>
      <w:jc w:val="both"/>
    </w:pPr>
    <w:rPr>
      <w:rFonts w:ascii="Times New Roman" w:hAnsi="Times New Roman" w:eastAsia="宋体" w:cs="Times New Roman"/>
      <w:kern w:val="2"/>
      <w:sz w:val="32"/>
      <w:szCs w:val="24"/>
      <w:lang w:val="en-US" w:eastAsia="zh-CN" w:bidi="ar-SA"/>
    </w:rPr>
  </w:style>
  <w:style w:type="paragraph" w:styleId="10">
    <w:name w:val="footer"/>
    <w:basedOn w:val="1"/>
    <w:qFormat/>
    <w:uiPriority w:val="0"/>
    <w:pPr>
      <w:tabs>
        <w:tab w:val="center" w:pos="4153"/>
        <w:tab w:val="right" w:pos="8306"/>
      </w:tabs>
      <w:snapToGrid w:val="0"/>
      <w:jc w:val="left"/>
    </w:pPr>
    <w:rPr>
      <w:sz w:val="18"/>
    </w:rPr>
  </w:style>
  <w:style w:type="paragraph" w:styleId="11">
    <w:name w:val="Body Text Indent"/>
    <w:next w:val="12"/>
    <w:qFormat/>
    <w:uiPriority w:val="0"/>
    <w:pPr>
      <w:widowControl w:val="0"/>
      <w:ind w:firstLine="630"/>
      <w:jc w:val="both"/>
    </w:pPr>
    <w:rPr>
      <w:rFonts w:ascii="仿宋_GB2312" w:hAnsi="Times New Roman" w:eastAsia="仿宋_GB2312" w:cs="Times New Roman"/>
      <w:kern w:val="2"/>
      <w:sz w:val="32"/>
      <w:szCs w:val="20"/>
      <w:lang w:val="en-US" w:eastAsia="zh-CN" w:bidi="ar-SA"/>
    </w:rPr>
  </w:style>
  <w:style w:type="paragraph" w:styleId="12">
    <w:name w:val="Date"/>
    <w:basedOn w:val="1"/>
    <w:next w:val="1"/>
    <w:qFormat/>
    <w:uiPriority w:val="0"/>
    <w:rPr>
      <w:rFonts w:ascii="仿宋_GB2312" w:eastAsia="仿宋_GB2312"/>
      <w:sz w:val="32"/>
    </w:rPr>
  </w:style>
  <w:style w:type="paragraph" w:styleId="13">
    <w:name w:val="Plain Text"/>
    <w:basedOn w:val="1"/>
    <w:qFormat/>
    <w:uiPriority w:val="0"/>
    <w:rPr>
      <w:rFonts w:ascii="宋体"/>
    </w:rPr>
  </w:style>
  <w:style w:type="paragraph" w:styleId="14">
    <w:name w:val="Body Text Indent 2"/>
    <w:next w:val="11"/>
    <w:qFormat/>
    <w:uiPriority w:val="0"/>
    <w:pPr>
      <w:widowControl w:val="0"/>
      <w:ind w:firstLine="648"/>
      <w:jc w:val="both"/>
    </w:pPr>
    <w:rPr>
      <w:rFonts w:ascii="仿宋_GB2312" w:hAnsi="Times New Roman" w:eastAsia="仿宋_GB2312" w:cs="Times New Roman"/>
      <w:kern w:val="2"/>
      <w:sz w:val="32"/>
      <w:szCs w:val="20"/>
      <w:lang w:val="en-US" w:eastAsia="zh-CN" w:bidi="ar-SA"/>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rPr>
  </w:style>
  <w:style w:type="paragraph" w:styleId="16">
    <w:name w:val="toc 4"/>
    <w:next w:val="1"/>
    <w:qFormat/>
    <w:uiPriority w:val="0"/>
    <w:pPr>
      <w:widowControl w:val="0"/>
      <w:ind w:left="1260"/>
      <w:jc w:val="both"/>
    </w:pPr>
    <w:rPr>
      <w:rFonts w:ascii="等线" w:hAnsi="Times New Roman" w:eastAsia="等线" w:cs="Arial"/>
      <w:kern w:val="2"/>
      <w:sz w:val="21"/>
      <w:szCs w:val="22"/>
      <w:lang w:val="en-US" w:eastAsia="zh-CN" w:bidi="ar-SA"/>
    </w:rPr>
  </w:style>
  <w:style w:type="paragraph" w:styleId="17">
    <w:name w:val="Body Text Indent 3"/>
    <w:basedOn w:val="1"/>
    <w:qFormat/>
    <w:uiPriority w:val="0"/>
    <w:pPr>
      <w:ind w:left="3102" w:hanging="601"/>
    </w:pPr>
    <w:rPr>
      <w:rFonts w:ascii="仿宋_GB2312" w:eastAsia="仿宋_GB2312"/>
      <w:kern w:val="0"/>
      <w:sz w:val="32"/>
    </w:rPr>
  </w:style>
  <w:style w:type="paragraph" w:styleId="18">
    <w:name w:val="Normal (Web)"/>
    <w:next w:val="19"/>
    <w:qFormat/>
    <w:uiPriority w:val="0"/>
    <w:pPr>
      <w:widowControl w:val="0"/>
      <w:spacing w:before="100" w:beforeAutospacing="1" w:after="100" w:afterAutospacing="1"/>
    </w:pPr>
    <w:rPr>
      <w:rFonts w:ascii="Times New Roman" w:hAnsi="Times New Roman" w:eastAsia="宋体" w:cs="Times New Roman"/>
      <w:sz w:val="24"/>
      <w:szCs w:val="24"/>
      <w:lang w:val="en-US" w:eastAsia="zh-CN" w:bidi="ar-SA"/>
    </w:rPr>
  </w:style>
  <w:style w:type="character" w:styleId="19">
    <w:name w:val="page number"/>
    <w:qFormat/>
    <w:uiPriority w:val="0"/>
  </w:style>
  <w:style w:type="paragraph" w:styleId="20">
    <w:name w:val="Body Text First Indent 2"/>
    <w:next w:val="21"/>
    <w:qFormat/>
    <w:uiPriority w:val="0"/>
    <w:pPr>
      <w:widowControl w:val="0"/>
      <w:spacing w:after="120"/>
      <w:ind w:left="200" w:leftChars="200" w:firstLine="200" w:firstLineChars="200"/>
      <w:jc w:val="both"/>
      <w:textAlignment w:val="baseline"/>
    </w:pPr>
    <w:rPr>
      <w:rFonts w:ascii="Calibri" w:hAnsi="Calibri" w:eastAsia="宋体" w:cs="Arial"/>
      <w:kern w:val="2"/>
      <w:sz w:val="21"/>
      <w:szCs w:val="24"/>
      <w:lang w:val="en-US" w:eastAsia="zh-CN" w:bidi="ar-SA"/>
    </w:rPr>
  </w:style>
  <w:style w:type="paragraph" w:customStyle="1" w:styleId="21">
    <w:name w:val="Char"/>
    <w:basedOn w:val="1"/>
    <w:qFormat/>
    <w:uiPriority w:val="0"/>
    <w:rPr>
      <w:rFonts w:ascii="Tahoma" w:hAnsi="Tahoma" w:eastAsia="仿宋_GB2312"/>
      <w:sz w:val="24"/>
    </w:rPr>
  </w:style>
  <w:style w:type="character" w:styleId="24">
    <w:name w:val="Emphasis"/>
    <w:qFormat/>
    <w:uiPriority w:val="0"/>
  </w:style>
  <w:style w:type="character" w:styleId="25">
    <w:name w:val="Hyperlink"/>
    <w:qFormat/>
    <w:uiPriority w:val="0"/>
    <w:rPr>
      <w:color w:val="0563C1"/>
      <w:u w:val="single"/>
    </w:rPr>
  </w:style>
  <w:style w:type="character" w:customStyle="1" w:styleId="26">
    <w:name w:val="font12"/>
    <w:qFormat/>
    <w:uiPriority w:val="0"/>
    <w:rPr>
      <w:rFonts w:ascii="宋体 (serif)" w:eastAsia="宋体 (serif)"/>
      <w:sz w:val="24"/>
      <w:szCs w:val="24"/>
    </w:rPr>
  </w:style>
  <w:style w:type="paragraph" w:customStyle="1" w:styleId="27">
    <w:name w:val=" Char Char Char Char"/>
    <w:basedOn w:val="1"/>
    <w:qFormat/>
    <w:uiPriority w:val="0"/>
  </w:style>
  <w:style w:type="paragraph" w:customStyle="1" w:styleId="28">
    <w:name w:val=" Char Char Char Char Char Char"/>
    <w:basedOn w:val="1"/>
    <w:qFormat/>
    <w:uiPriority w:val="0"/>
  </w:style>
  <w:style w:type="character" w:customStyle="1" w:styleId="29">
    <w:name w:val="font_12"/>
    <w:qFormat/>
    <w:uiPriority w:val="0"/>
    <w:rPr>
      <w:sz w:val="24"/>
      <w:szCs w:val="24"/>
    </w:rPr>
  </w:style>
  <w:style w:type="character" w:customStyle="1" w:styleId="30">
    <w:name w:val="NormalCharacter"/>
    <w:qFormat/>
    <w:uiPriority w:val="0"/>
  </w:style>
  <w:style w:type="paragraph" w:customStyle="1" w:styleId="31">
    <w:name w:val="p0"/>
    <w:next w:val="29"/>
    <w:qFormat/>
    <w:uiPriority w:val="0"/>
    <w:pPr>
      <w:spacing w:line="240" w:lineRule="atLeast"/>
      <w:jc w:val="both"/>
    </w:pPr>
    <w:rPr>
      <w:rFonts w:ascii="Times New Roman" w:hAnsi="Times New Roman" w:eastAsia="宋体" w:cs="Times New Roman"/>
      <w:kern w:val="2"/>
      <w:sz w:val="32"/>
      <w:szCs w:val="32"/>
      <w:lang w:val="en-US" w:eastAsia="zh-CN" w:bidi="ar-SA"/>
    </w:rPr>
  </w:style>
  <w:style w:type="character" w:customStyle="1" w:styleId="32">
    <w:name w:val="navtiao"/>
    <w:qFormat/>
    <w:uiPriority w:val="0"/>
    <w:rPr>
      <w:b/>
      <w:bCs/>
    </w:rPr>
  </w:style>
  <w:style w:type="paragraph" w:customStyle="1" w:styleId="33">
    <w:name w:val="TiaoYinV2"/>
    <w:next w:val="8"/>
    <w:qFormat/>
    <w:uiPriority w:val="0"/>
    <w:pPr>
      <w:widowControl w:val="0"/>
      <w:jc w:val="both"/>
    </w:pPr>
    <w:rPr>
      <w:rFonts w:ascii="等线" w:hAnsi="Times New Roman" w:eastAsia="等线" w:cs="Arial"/>
      <w:color w:val="218FC4"/>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个人电脑</Company>
  <Pages>11</Pages>
  <Words>5481</Words>
  <Characters>5494</Characters>
  <Lines>240</Lines>
  <Paragraphs>76</Paragraphs>
  <TotalTime>3</TotalTime>
  <ScaleCrop>false</ScaleCrop>
  <LinksUpToDate>false</LinksUpToDate>
  <CharactersWithSpaces>5572</CharactersWithSpaces>
  <Application>WPS Office_11.8.2.9339_F1E327BC-269C-435d-A152-05C5408002CA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2013-03-28T16:57:00Z</dcterms:created>
  <dc:creator>chen</dc:creator>
  <cp:lastModifiedBy>ht-706</cp:lastModifiedBy>
  <cp:lastPrinted>2022-08-01T22:50:00Z</cp:lastPrinted>
  <dcterms:modified xsi:type="dcterms:W3CDTF">2022-08-09T17:14:40Z</dcterms:modified>
  <dc:title>0000001</dc:title>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ies>
</file>