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肇庆市优化营商环境条例"/>
      <w:bookmarkEnd w:id="0"/>
      <w:r>
        <w:rPr>
          <w:rFonts w:ascii="方正小标宋简体" w:eastAsia="方正小标宋简体" w:hAnsi="方正小标宋简体" w:cs="方正小标宋简体" w:hint="eastAsia"/>
          <w:color w:val="333333"/>
          <w:sz w:val="44"/>
          <w:szCs w:val="44"/>
          <w:shd w:val="clear" w:color="auto" w:fill="FFFFFF"/>
        </w:rPr>
        <w:t>肇庆市优化营商环境条例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（2023年8月29日肇庆市第十四届人民代表大会常务委员会第十三次会议通过　2023年9月27日广东省第十四届人民代表大会常务委员会第五次会议批准　2025年2月17日肇庆市第十四届人民代表大会常务委员会第二十四次会议通过　2025年3月25日广东省第十四届人民代表大会常务委员会第十六次会议批准的《肇庆市人民代表大会常务委员会关于修改〈肇庆市扬尘污染防治条例〉、〈肇庆市优化营商环境条例〉的决定》修正）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激发市场主体活力，维护市场主体合法权益，推动经济高质量发展，推进政府治理体系和治理能力现代化建设，将肇庆建设成为珠三角核心区西部增长极和粤港澳大湾区现代新都市，根据国务院《优化营商环境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遵循市场化、法治化、国际化原则，以市场主体需求为导向，以政府职能转变为核心，加强服务型政府建设，创新体制机制，降低制度性交易成本，完善法治保障，为各类市场主体投资兴业营造稳定、公平、透明、可预期的发展环境。</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市场主体在经济活动中权利平等、机会平等、规则平等。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市场主体的财产权利、经营自主权及其他合法权益受法律保护，依法保护企业经营者的人身权利和财产权利。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市场主体享有知悉法律、政策，获取公共服务以及对营商环境相关领域工作进行监督、投诉、举报并获得及时处理的权利。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市场主体应当遵守法律、法规，履行法定义务，恪守社会公德和商业道德，诚实守信、公平竞争，共同营造健康有序的营商环境。</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优化营商环境工作的组织领导，其主要负责人是优化营商环境工作第一责任人。统筹推进营商环境改革，制定完善优化营商环境政策措施，解决影响营商环境的重点、难点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市、县（市、区）人民政府根据实际明确优化营商环境工作主管部门，具体负责组织指导、统筹协调、督促检查、考核评价等日常工作。其他有关部门按照职责分工做好优化营商环境工作。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数字政府建设，统筹推进各行业各领域政务应用系统集约建设、互联互通、协同联动；推动政务数据的收集、分类、共享、应用和安全保障的标准化、规范化建设，推进政府履职和政务运行数字化转型，提升行政效能。</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市、县（市、区）人民政府及其有关部门应当严格执行全国统一的市场准入负面清单制度，优化新业态新领域市场准入环境。对市场准入负面清单以外的领域，各类市场主体均可以依法平等进入。</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本市应该加强与粤港澳大湾区城市优化营商环境的交流合作，推进在制度建设、工作机制和改革举措等方面对接，推动市场规则衔接和政务服务协作，实现政务服务标准统一、资质互认、区域通办。</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及时总结、复制、推广行之有效的经验和做法，并结合本地实际，在法治框架内积极探索原创性、差异化的优化营商环境改革措施；对探索中出现失误或者偏差，同时符合下列条件的，依法可以予以免责或者减轻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（一）符合国家、省和市确定的改革方向和政策取向；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（二）决策及其执行程序符合法律、法规规定；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（三）勤勉尽责且未谋取非法利益；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（四）未恶意串通损害公共利益和他人合法权益；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（五）未造成重大损失和社会负面影响。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法律、法规另有规定的，从其规定。</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市、县（市、区）人民政府可以根据城市功能定位、发展规划以及生态环境安全等相关规定，按照规定的权限和程序制定产业引导政策，并向社会公布。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市、县（市、区）人民政府应当完善产业链供需平台建设，推动产业链上下游企业协作配套，促进产业合作交流，为企业生产经营提供便利。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鼓励市场主体实施碳达峰、碳中和行动。市、县（市、区）人民政府应当出台相关政策措施对推动碳中和等绿色低碳技术革新和应用、发展可再生能源利用的市场主体，予以鼓励支持。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自然资源、农业农村、生态环境、金融、投资促进、电力管理等部门应当建立健全土地规划、土地供应、生态环境安全、金融支持、招商引资、用电需求等信息互联互通机制，指导、服务企业办理项目落地所需的审批事项，促进企业落地投产。</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推行新开办企业全流程“一网通办、一窗通取”。申请人可以通过市、县（市、区）人民政府行政服务大厅的综合服务窗口或者网上服务平台申办营业执照、公章刻制、发票申领、社保登记、住房公积金缴存登记、银行预约开户等业务，一次性领取营业执照、印章、发票、税控设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市、县（市、区）人民政府相关部门应当探索推动市场主体名称、住所、法定代表人、注册资本等变更（备案）登记与其他涉企事项变更联动办理，提升办事便利度。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市场监管部门应当根据市场主体自主申报的经营范围，明确告知市场主体需要办理的许可事项，同时将需要申请许可的市场主体信息告知相关主管部门。相关主管部门应当依市场主体申请及时办理涉企经营许可事项，并将办理结果及时反馈市场监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市、县（市、区）人民政府应当组织相关部门对市场主体生产经营高频办理的许可事项、资质证明等政务服务事项进行梳理，并推动相关事项实现跨区域办理。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公布惠企政策清单，主动向企业精准推送惠企政策。符合条件的企业免予申请，直接享受惠企政策；确需申请的，市、县（市、区）人民政府应当编制兑现事项清单和申请指南，实现一次申报、全程网办、快速兑现。</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本市实行市场主体住所（经营场所）登记申报承诺制、一址多照、一照多址登记，简化市场主体住所登记条件。</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市场主体可以通过广东省企业注销网上服务专区平台申请注销，由市场监督管理、税务、人力资源和社会保障等部门分类处置、并联办理相关事项。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上市股份有限公司除外）未发生债权债务或者已将债权债务清偿完结，未发生或者已结清清偿费用、职工工资、社会保险费用、法定补偿金、应缴纳税款（滞纳金、罚款），并由全体投资人书面承诺对上述情况的真实性承担法律责任的，可以按照简易程序办理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市场主体注销依法须经批准的，或者市场主体被吊销营业执照、责令关闭、撤销，或者被列入经营异常名录的，不适用简易注销程序。</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本市依托粤商通设立“全肇办”涉企移动网上政务服务专区，实行产业项目审批代办服务、涉企法律法规政策查询、产业用地查询、金融服务、中介服务、信用查询、电子证照和投诉建议等一站式服务。</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市、县（市、区）人民政府应当推进市场主体年度报告涉及社保、市场监管、税务、海关等事项的多报合一制度。</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市、县（市、区）人民政府及其有关部门应当在政务服务中推广应用电子证照、电子印章、电子签名，并规定证照、签章等电子材料具体业务应用场景，推动电子证照、签章互认共享。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办理政务服务事项，使用的符合《中华人民共和国电子签名法》规定条件的电子签名，与手写签名或者盖章具有同等法律效力；电子印章与实物印章具有同等法律效力；电子证照与纸质证照具有同等法律效力，可以作为法定办事依据和归档材料。法律、法规另有规定的除外。</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市、县（市、区）人民政府及其有关部门应当制定并公布容缺受理政务服务事项清单，明确事项名称、主要申报材料、次要申报材料、容缺补正时限等内容。容缺受理政务服务事项清单实行动态管理。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申请容缺受理的，应当提交《申请容缺受理承诺书》。行政机关在收到书面承诺后，对主要申请材料齐全且符合法定形式的，应当先予受理并一次性告知申请人需要补充的材料、补交期限及法律后果。申请人可以通过网络、邮政寄递或承诺书约定的其他方式在承诺时限内补正容缺受理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申请人在承诺时限内补齐所有容缺材料，经审查符合法定要求的，行政机关应当在承诺办理时限内出具办理结果。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申请人在承诺时限内不能补正全部材料或所补正的材料不符合要求的，容缺受理政务服务事项终止办理，申请材料经窗口退回申请人。</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被省、市人民政府及其有关部门列入告知承诺事项清单的证明事项和涉企经营许可事项，申请人可以自主选择提供相关材料或者采用告知承诺制办理。申请人有较严重的不良信用记录或者存在曾作出虚假承诺等情形的，在信用修复前不适用告知承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申请人选择采用告知承诺办理的，相关部门应该在收到申请后，向申请人书面告知下列内容：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（一）行政审批事项或者证明材料的名称、所依据的主要法律、法规、规章的名称和相关条款；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（二）准予行政审批或者有效证明应当具备的条件、标准和技术要求；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（三）需要申请人提交材料的名称、方式和期限；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（四）行政机关核查权力；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（五）申请人作出承诺的时限和法律效力，以及逾期不作出承诺、作出不实承诺和违反承诺的法律后果；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（六）承诺书是否公开、公开范围及时限；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（七）本部门认为应当告知的其他内容。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应当依法根据申请人的承诺作出准予许可或者予以证明的决定。相关部门应当加强监管，发现承诺人未履行承诺的，责令其限期整改，整改后仍未达到条件的，撤销决定；作出虚假承诺的，直接撤销决定，依法追究相应法律责任。没有履行告知承诺或者作出虚假承诺的情况应当依法纳入公共信用记录，作为差异化监管的重要依据。</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本市鼓励和支持各地区、各部门结合实际情况，在法治框架内积极探索工程建设项目审批制度改革，落实“放管服”改革要求，实现便利、高效审批。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相关行政主管部门应加强对工程建设项目的事前服务、事中监督、事后执法。</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全面推行工程建设项目分级分类管理。市、县（市、区）人民政府有关部门应当根据项目性质、投资规模、风险程度等，公布审批流程图和审批事项清单，明确审批时限和申报材料清单，实行工程建设项目联合审批、多图一审、联合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本市工程建设项目审批实行“前台综合受理、后台并联审批、综合窗口出件”的服务模式。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市、县（市、区）人民政府政务服务中心应当设立统一的工程建设项目审批综合服务窗口。综合服务窗口应当建立为申请人提供工程建设项目审批的全流程咨询、指导、协调服务机制。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项用地规划许可、工程建设许可、施工许可、竣工验收四个审批阶段的牵头部门负责组织协调本审批阶段的相关部门，依托工程建设项目审批管理系统按照时限完成在线审批，实现信息一次填报、材料一次上传、相关评审意见和审批结果即时推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工程建设项目竣工实施限时联合验收的，应当统一验收图纸和验收标准，统一出具验收意见。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工程建设项目测绘事项推行“多测合一”，分阶段整合相关测量测绘事项，实现同一阶段一次委托、成果共享。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市人民政府应当推进公用企业信息化平台与工程建设项目审批管理系统互联互通，将水、电、气、网等涉企生产经营的审批事项接入工程建设项目审批管理系统进行并联审批。</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市、县（市、区）人民政府自然资源部门及有关部门应当优化对用地规划、项目招商、土地供应、供后管理和退出等各环节的协同监管，实行产业用地全周期管理机制。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市、县（市、区）人民政府应当增强政府土地收储能力，建立健全闲置土地、低效用地清理处置机制，强化土地要素保障。鼓励通过依法协商收回、协议置换、费用奖惩等方式，推动城镇低效用地腾退出清。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鼓励采用长期租赁、先租后让、弹性年期供应等方式供应产业用地。优化工业用地出让年期，完善弹性出让年期制度。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有序推行工业用地“标准地”供应。对新建工业项目用地先行完成区域评估及项目开工建设所必需的通水、通电、通路和土地平整等基本条件，按照工业项目固定资产投资强度、亩均税收、容积率、单位能耗标准、单位排放标准等指标出让国有建设用地，提升产业用地配置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在符合国土空间规划且满足安全、环保等要求的前提下，支持混合产业用地供给，鼓励同一地块内工业、仓储、研发、办公、商业服务等用途互利的功能混合布置，促进土地用途混合利用和建筑复合使用。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市、县（市、区）人民政府应当健全人才引进、培养评价、激励保障等机制，在住房安置、医疗保障、社会保险、配偶就业、子女入学等方面为高层次人才、高技能人才、紧缺急需人才提供便利服务。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教育、科技、人力资源和社会保障等有关部门应当推进教学与产业深度融合，支持普通高等学校、职业学校（技工学校）根据本地产业需求建立校企合作人才培养使用机制。相关部门应当依托产教融合综合信息服务平台，向各类主体提供区域和行业人才供需、校企合作、项目研发、技术服务等信息的发布、检索、推荐、对接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市、县（市、区）人民政府人力资源和社会保障部门应当加强人力资源服务标准化建设，完善人力资源管理服务，支持有需求的企业创新用工模式，提高人力资源配置效率。</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建立健全知识产权公共服务体系，完善一站式知识产权公共服务供给机制，指导和帮助市场主体规范内部知识产权管理，提升市场主体创造、运用和保护知识产权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市人民政府及其有关部门应当建立健全知识产权司法保护与行政保护协同衔接机制，健全跨区域执法协作机制。完善知识产权纠纷多元化解决机制和维权援助机制。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市、县（市、区）人民政府应当完善知识产权信用担保机制和质押融资风险补偿机制，为市场主体的创新科技活动提供支持。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市人民政府应当健全海外知识产权援助机制，健全风险预警和应急处置机制，提升市场主体知识产权保护水平。</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和支持创新创业园区、孵化基地、众创空间等创新创业孵化载体建设，在场所用地、基础设施建设、公共管理服务等方面按照规定给予政策与资金支持，降低市场主体初创成本，提高孵化成功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优化创新创业服务体系，引导高等学校、科研机构、企事业单位、社会组织和孵化载体建立创新创业成果与行业产业对接长效机制，为创新创业成果转化提供对接渠道、推广应用等服务，加强跟踪支持，推动优秀项目落地发展。</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市、县（市、区）人民政府应当在财政扶持、费用减免、金融支持、公共服务等方面制定政策措施，支持中小企业发展。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制定和完善引导中小企业专业化、精细化、特色化、创新型发展的政策措施，支持中小企业融入、服务国家、省和市发展战略，推动企业聚焦主业加快转型升级，提升创新能力和发展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市、县（市、区）人民政府及其有关部门应当推动大型企业与中小企业加强创新链、产业链、供应链、数据链等方面合作，支持培育大中小企业融通创新平台和基地，促进大中小企业融通发展。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完善品牌建设激励机制，引导中小企业建立健全品牌培育管理体系，支持中小企业培育自主品牌。市场监督管理、商务、工业和信息化等部门应当对中小企业申请注册商标、地理标志、专用标志和申报老字号等给予指导，建立健全品牌保护机制，增强中小企业品牌的市场竞争力。</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市、县（市、区）人民政府及其有关部门应当依托信用信息共享平台，建立健全符合中小企业特点的公共信用综合评价体系，将评价结果定期推送给金融机构。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鼓励我市有条件的金融机构使用公共信用信息，依托大数据、云计算等完善中小企业信贷评价和风险管理模型，优化信贷审批流程，推广“信易贷”等服务模式。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市、县（市、区）人民政府可以设立中小企业信贷风险补偿金，对提供中小企业融资服务的银行给予贷款风险补偿，对符合条件的中小企业给予应急转贷纾困等资金支持。</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供水、供电、供气、通信网络等公用企事业单位应当公开服务范围、标准、收费、流程、完成时限等信息，简化报装手续，优化办理流程，降低报装成本。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公用企事业单位应当推行接入和服务的标准化，确保接入标准、服务标准公开透明，并提供相关延伸服务和一站式服务。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公用企事业单位不得以指定交易、拖延服务等方式强迫市场主体接受不合理的服务条件，不得以任何名义收取不合理费用。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供水、供电、供气、通信网络等公用企事业单位应当加强对市场主体服务的质量保障，不得违法拒绝或者中断服务。相关部门应当建立水电气以及通信网络供应可靠性的管制和保障措施。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市、县（市、区）人民政府有关部门应当建立提供公共服务的公用企事业单位工作督查、评价等机制，加强监督管理。</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国土空间规划并结合实际，在开发区、功能区、工业园区合理配置教育、医疗、托幼、公交等公共设施，提升整体配套和服务水平；应当完善园区及周边基础设施建设，促进交通、给排水、电、气、网、污水处理等基础设施与园区的有效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市、县（市、区）人民政府应当根据需要在产业园区管理机构设立一站式服务受理点，提供企业开办、项目建设、人才服务等政务咨询和代办服务。</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市、县（市、区）人民政府及其有关部门应当完善政务服务数据采集与共享机制，推进本地区政务服务平台互联互通，促进政务服务跨区域、跨部门、跨层级数据共享和业务协同。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对于本市各级部门可以通过数据共享获取的信息，不得要求申请人提供。</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中介服务机构应当明确办理法定行政审批中介服务的条件、流程、时限、收费标准，并向社会公开，不得出具虚假证明或者报告。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中介服务机构及其从业人员应当依法开展中介服务活动，维护委托人的合法权益，不得损害国家利益、公共利益以及他人的合法权益。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本市培育和发展各类行业协会、商会，依法规范和监督行业协会商会的收费、评比、认证等行为。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行业协会、商会应当依照法律、法规和章程，加强行业自律，及时反映行业诉求，为市场主体提供信息咨询、宣传培训、市场拓展、权益保护、纠纷处理等服务。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鼓励行业协会、商会搭建各类产业对接交流平台，举办具有影响力的行业活动，开展招商引资、人才引进等工作。</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重大行政决策事项与企业生产经营密切相关，可能对企业切身利益或者权利义务产生重大影响的，除依法需要保密外，应当在决策前充分听取相关企业和行业协会、商会的意见，通过政府门户网站、网上政务平台等载体公开征求社会意见，并依法进行合法性审查、公平竞争审查等专项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本市制定的涉及市场主体权利义务的地方性法规、规章、行政规范性文件和政策措施，应当自印发之日起十个工作日内依法予以公开发布，并通过多种途径和方式加强宣传解读。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涉及市场主体权利义务的政策应当保持连续性和相对稳定性。因形势变化或者公共利益需要调整的，应当结合实际设置合理过渡期，为市场主体预留必要的适应调整时间。</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行政执法机关应当根据不同领域特点、风险等级和市场主体信用水平采取分类监管措施。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（一）对直接涉及公共安全和人民群众生命健康的特殊行业、重点领域，依法实行全覆盖的重点监管；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（二）对其他领域依法实施“双随机、一公开”监管模式，通过随机抽取检查对象、随机选派执法检查人员、抽查事项及查处结果及时向社会公开的方式进行；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（三）对通过投诉举报、转办交办、数据监测等发现的问题，应当有针对性地进行检查并依法处理。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在监管过程中涉及的市场主体商业秘密，应当依法予以保密。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本市提倡“人工智能+双随机”监管模式，通过多行业多部门的数据共享应用，利用大数据分析建立企业经营风险分析模型，按照不同风险等级对企业进行分级分类，实施差异化监管措施。</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行政机关应当根据违法行为的事实、性质、情节以及社会危害程度等，制定行政处罚裁量基准并向社会公布。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行政机关应当建立健全规范行政处罚裁量基准相关配套工作制度，将行政处罚裁量基准的实施情况纳入本单位对行政执法人员的评议考核和责任追究，规范行使行政处罚裁量权。</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市、县（市、区）人民政府及其有关部门应当对新技术、新产业、新业态、新模式实行包容审慎监管，分类分行业制定和实行相应的监管规则和标准，确保质量和安全，不得简单化予以禁止或者不予监管。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市、县（市、区）人民政府应当及时明确新产业、新业态的行政监管部门和监管工作职责。</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市、县（市、区）人民政府及其有关部门应当构建以信用为基础的新型监管机制，创新监管方式，形成行政监管、行业自律、社会监督、公众参与的综合监管体系；依法依规实施守信激励和失信惩戒措施。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鼓励市场主体通过主动履行义务、纠正失信行为、消除不利影响等方式，修复自身信用。</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本市鼓励、支持市场主体建立健全管理制度，完善重大决策法律审核和风险识别预警机制。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市、县（市、区）人民政府及其有关部门可以采用提出一般性指导意见或者建议、制发相关合同示范文本、发送提示信函等方式，指导、提示市场主体依法经营。</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与同级人民法院健全企业破产处置协调联动机制，依法保障破产管理人履行法定职责，协调解决企业破产启动、职工安置、资产处置、信用修复、涉税事项处理、破产企业重整等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市、县（市、区）人民政府人力资源和社会保障部门应当依法保障破产企业职工的合法权益，协调解决职工劳动报酬争议、社保转移、退休人员社会化管理、档案接转等事项。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本市探索建立破产企业重整期间信用修复机制，优化重整企业在税务、市场监管和招投标等重点领域信用修复服务。</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市、县（市、区）人民政府应当与市场主体建立常态化的沟通联系机制，鼓励市场主体建言献策、反映实情，及时听取和回应市场主体意见、诉求，依法帮助其解决生产经营中遇到的困难和问题。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对市场主体反映的普遍性、共性问题，有关单位应当根据职责纳入优化营商环境改革范围。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市场主体可以通过12345政务服务便民热线、政府网站、部门电话、政务新媒体等提出有关营商环境的咨询和投诉举报。有关部门、公用企业事业单位应当按照规定的时限办理、答复。</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