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801100">
      <w:pPr>
        <w:pStyle w:val="17"/>
        <w:bidi w:val="0"/>
        <w:rPr>
          <w:rFonts w:hint="eastAsia"/>
          <w:lang w:val="en-US" w:eastAsia="zh-CN"/>
        </w:rPr>
      </w:pPr>
    </w:p>
    <w:p w14:paraId="5FBC8E5C">
      <w:pPr>
        <w:pStyle w:val="17"/>
        <w:bidi w:val="0"/>
        <w:rPr>
          <w:rFonts w:hint="eastAsia"/>
        </w:rPr>
      </w:pPr>
      <w:bookmarkStart w:id="0" w:name="#go35"/>
      <w:bookmarkEnd w:id="0"/>
      <w:bookmarkStart w:id="1" w:name="tiao_16_kuan_2"/>
      <w:bookmarkEnd w:id="1"/>
      <w:bookmarkStart w:id="2" w:name="tiao_32"/>
      <w:bookmarkEnd w:id="2"/>
      <w:bookmarkStart w:id="3" w:name="#go23"/>
      <w:bookmarkEnd w:id="3"/>
      <w:bookmarkStart w:id="4" w:name="tiao_31_kuan_1"/>
      <w:bookmarkEnd w:id="4"/>
      <w:bookmarkStart w:id="5" w:name="tiao_34_kuan_1"/>
      <w:bookmarkEnd w:id="5"/>
      <w:bookmarkStart w:id="6" w:name="tiao_31_kuan_2"/>
      <w:bookmarkEnd w:id="6"/>
      <w:bookmarkStart w:id="7" w:name="#go32"/>
      <w:bookmarkEnd w:id="7"/>
    </w:p>
    <w:p w14:paraId="5FA3F7C0">
      <w:pPr>
        <w:pStyle w:val="3"/>
        <w:bidi w:val="0"/>
        <w:rPr>
          <w:rFonts w:hint="eastAsia"/>
        </w:rPr>
      </w:pPr>
      <w:r>
        <w:rPr>
          <w:rFonts w:hint="eastAsia"/>
        </w:rPr>
        <w:t>苏州市慈善促进条例</w:t>
      </w:r>
    </w:p>
    <w:p w14:paraId="68C3730D">
      <w:pPr>
        <w:pStyle w:val="17"/>
        <w:bidi w:val="0"/>
        <w:rPr>
          <w:rFonts w:hint="eastAsia"/>
        </w:rPr>
      </w:pPr>
    </w:p>
    <w:p w14:paraId="14CC0746">
      <w:pPr>
        <w:pStyle w:val="14"/>
        <w:bidi w:val="0"/>
        <w:rPr>
          <w:rFonts w:hint="eastAsia"/>
        </w:rPr>
      </w:pPr>
      <w:r>
        <w:rPr>
          <w:rFonts w:hint="eastAsia"/>
        </w:rPr>
        <w:t>（</w:t>
      </w:r>
      <w:r>
        <w:rPr>
          <w:rFonts w:hint="eastAsia" w:ascii="Times New Roman" w:hAnsi="Times New Roman"/>
        </w:rPr>
        <w:t>2024</w:t>
      </w:r>
      <w:r>
        <w:rPr>
          <w:rFonts w:hint="eastAsia"/>
        </w:rPr>
        <w:t>年</w:t>
      </w:r>
      <w:r>
        <w:rPr>
          <w:rFonts w:hint="eastAsia" w:ascii="Times New Roman" w:hAnsi="Times New Roman"/>
        </w:rPr>
        <w:t>4</w:t>
      </w:r>
      <w:r>
        <w:rPr>
          <w:rFonts w:hint="eastAsia"/>
        </w:rPr>
        <w:t>月</w:t>
      </w:r>
      <w:r>
        <w:rPr>
          <w:rFonts w:hint="eastAsia" w:ascii="Times New Roman" w:hAnsi="Times New Roman"/>
        </w:rPr>
        <w:t>25</w:t>
      </w:r>
      <w:r>
        <w:rPr>
          <w:rFonts w:hint="eastAsia"/>
        </w:rPr>
        <w:t>日苏州市第十七届人民代表大会常务委员会第十四次会议通过</w:t>
      </w:r>
      <w:r>
        <w:rPr>
          <w:rFonts w:hint="eastAsia"/>
          <w:lang w:eastAsia="zh-CN"/>
        </w:rPr>
        <w:t>　</w:t>
      </w:r>
      <w:r>
        <w:rPr>
          <w:rFonts w:hint="eastAsia" w:ascii="Times New Roman" w:hAnsi="Times New Roman"/>
        </w:rPr>
        <w:t>2024</w:t>
      </w:r>
      <w:r>
        <w:rPr>
          <w:rFonts w:hint="eastAsia"/>
        </w:rPr>
        <w:t>年</w:t>
      </w:r>
      <w:r>
        <w:rPr>
          <w:rFonts w:hint="eastAsia" w:ascii="Times New Roman" w:hAnsi="Times New Roman"/>
        </w:rPr>
        <w:t>5</w:t>
      </w:r>
      <w:r>
        <w:rPr>
          <w:rFonts w:hint="eastAsia"/>
        </w:rPr>
        <w:t>月</w:t>
      </w:r>
      <w:r>
        <w:rPr>
          <w:rFonts w:hint="eastAsia" w:ascii="Times New Roman" w:hAnsi="Times New Roman"/>
        </w:rPr>
        <w:t>29</w:t>
      </w:r>
      <w:r>
        <w:rPr>
          <w:rFonts w:hint="eastAsia"/>
        </w:rPr>
        <w:t>日江苏省第十四届人民代表大会常务委员会第九次会议批准）</w:t>
      </w:r>
    </w:p>
    <w:p w14:paraId="48BF80AF">
      <w:pPr>
        <w:pStyle w:val="17"/>
        <w:bidi w:val="0"/>
      </w:pPr>
    </w:p>
    <w:p w14:paraId="39A36D3A">
      <w:pPr>
        <w:pStyle w:val="15"/>
        <w:keepNext w:val="0"/>
        <w:keepLines w:val="0"/>
        <w:pageBreakBefore w:val="0"/>
        <w:widowControl w:val="0"/>
        <w:kinsoku/>
        <w:wordWrap/>
        <w:overflowPunct/>
        <w:topLinePunct w:val="0"/>
        <w:autoSpaceDE/>
        <w:autoSpaceDN/>
        <w:bidi w:val="0"/>
        <w:adjustRightInd/>
        <w:snapToGrid/>
        <w:ind w:left="0" w:leftChars="0" w:right="0" w:rightChars="0" w:firstLine="0" w:firstLineChars="0"/>
        <w:jc w:val="center"/>
        <w:textAlignment w:val="auto"/>
      </w:pPr>
      <w:r>
        <w:rPr>
          <w:rFonts w:hint="eastAsia"/>
        </w:rPr>
        <w:t>目</w:t>
      </w:r>
      <w:r>
        <w:rPr>
          <w:rFonts w:hint="eastAsia"/>
          <w:lang w:eastAsia="zh-CN"/>
        </w:rPr>
        <w:t>　　</w:t>
      </w:r>
      <w:r>
        <w:rPr>
          <w:rFonts w:hint="eastAsia"/>
        </w:rPr>
        <w:t>录</w:t>
      </w:r>
    </w:p>
    <w:p w14:paraId="3D952555">
      <w:pPr>
        <w:pStyle w:val="16"/>
        <w:bidi w:val="0"/>
      </w:pPr>
      <w:r>
        <w:rPr>
          <w:rFonts w:hint="eastAsia"/>
        </w:rPr>
        <w:t>第一章</w:t>
      </w:r>
      <w:r>
        <w:rPr>
          <w:rFonts w:hint="eastAsia"/>
          <w:lang w:eastAsia="zh-CN"/>
        </w:rPr>
        <w:t>　</w:t>
      </w:r>
      <w:r>
        <w:rPr>
          <w:rFonts w:hint="eastAsia"/>
        </w:rPr>
        <w:t>总</w:t>
      </w:r>
      <w:r>
        <w:rPr>
          <w:rFonts w:hint="eastAsia"/>
          <w:lang w:eastAsia="zh-CN"/>
        </w:rPr>
        <w:t>　　</w:t>
      </w:r>
      <w:r>
        <w:rPr>
          <w:rFonts w:hint="eastAsia"/>
        </w:rPr>
        <w:t>则</w:t>
      </w:r>
    </w:p>
    <w:p w14:paraId="53615395">
      <w:pPr>
        <w:pStyle w:val="16"/>
        <w:bidi w:val="0"/>
      </w:pPr>
      <w:r>
        <w:rPr>
          <w:rFonts w:hint="eastAsia"/>
        </w:rPr>
        <w:t>第二章</w:t>
      </w:r>
      <w:r>
        <w:rPr>
          <w:rFonts w:hint="eastAsia"/>
          <w:lang w:eastAsia="zh-CN"/>
        </w:rPr>
        <w:t>　</w:t>
      </w:r>
      <w:r>
        <w:rPr>
          <w:rFonts w:hint="eastAsia"/>
        </w:rPr>
        <w:t>慈善组织</w:t>
      </w:r>
    </w:p>
    <w:p w14:paraId="1DB2AAB9">
      <w:pPr>
        <w:pStyle w:val="16"/>
        <w:bidi w:val="0"/>
      </w:pPr>
      <w:r>
        <w:rPr>
          <w:rFonts w:hint="eastAsia"/>
        </w:rPr>
        <w:t>第三章</w:t>
      </w:r>
      <w:r>
        <w:rPr>
          <w:rFonts w:hint="eastAsia"/>
          <w:lang w:eastAsia="zh-CN"/>
        </w:rPr>
        <w:t>　</w:t>
      </w:r>
      <w:r>
        <w:rPr>
          <w:rFonts w:hint="eastAsia"/>
        </w:rPr>
        <w:t>慈善活动</w:t>
      </w:r>
    </w:p>
    <w:p w14:paraId="2292BE74">
      <w:pPr>
        <w:pStyle w:val="16"/>
        <w:bidi w:val="0"/>
      </w:pPr>
      <w:r>
        <w:rPr>
          <w:rFonts w:hint="eastAsia"/>
        </w:rPr>
        <w:t>第四章</w:t>
      </w:r>
      <w:r>
        <w:rPr>
          <w:rFonts w:hint="eastAsia"/>
          <w:lang w:eastAsia="zh-CN"/>
        </w:rPr>
        <w:t>　</w:t>
      </w:r>
      <w:r>
        <w:rPr>
          <w:rFonts w:hint="eastAsia"/>
        </w:rPr>
        <w:t>慈善文化</w:t>
      </w:r>
    </w:p>
    <w:p w14:paraId="2D0833E1">
      <w:pPr>
        <w:pStyle w:val="16"/>
        <w:bidi w:val="0"/>
      </w:pPr>
      <w:r>
        <w:rPr>
          <w:rFonts w:hint="eastAsia"/>
        </w:rPr>
        <w:t>第五章</w:t>
      </w:r>
      <w:r>
        <w:rPr>
          <w:rFonts w:hint="eastAsia"/>
          <w:lang w:eastAsia="zh-CN"/>
        </w:rPr>
        <w:t>　</w:t>
      </w:r>
      <w:r>
        <w:rPr>
          <w:rFonts w:hint="eastAsia"/>
        </w:rPr>
        <w:t>保障激励</w:t>
      </w:r>
    </w:p>
    <w:p w14:paraId="1739E8C4">
      <w:pPr>
        <w:pStyle w:val="16"/>
        <w:bidi w:val="0"/>
        <w:rPr>
          <w:rFonts w:hint="eastAsia"/>
        </w:rPr>
      </w:pPr>
      <w:r>
        <w:rPr>
          <w:rFonts w:hint="eastAsia"/>
        </w:rPr>
        <w:t>第六章</w:t>
      </w:r>
      <w:r>
        <w:rPr>
          <w:rFonts w:hint="eastAsia"/>
          <w:lang w:eastAsia="zh-CN"/>
        </w:rPr>
        <w:t>　</w:t>
      </w:r>
      <w:r>
        <w:rPr>
          <w:rFonts w:hint="eastAsia"/>
        </w:rPr>
        <w:t>附</w:t>
      </w:r>
      <w:r>
        <w:rPr>
          <w:rFonts w:hint="eastAsia"/>
          <w:lang w:eastAsia="zh-CN"/>
        </w:rPr>
        <w:t>　　</w:t>
      </w:r>
      <w:bookmarkStart w:id="8" w:name="_GoBack"/>
      <w:bookmarkEnd w:id="8"/>
      <w:r>
        <w:rPr>
          <w:rFonts w:hint="eastAsia"/>
        </w:rPr>
        <w:t>则</w:t>
      </w:r>
    </w:p>
    <w:p w14:paraId="6FE2B679">
      <w:pPr>
        <w:pStyle w:val="17"/>
        <w:bidi w:val="0"/>
      </w:pPr>
    </w:p>
    <w:p w14:paraId="39A7DCCA">
      <w:pPr>
        <w:pStyle w:val="5"/>
        <w:bidi w:val="0"/>
        <w:rPr>
          <w:rStyle w:val="13"/>
          <w:rFonts w:ascii="Times New Roman" w:hAnsi="Times New Roman" w:eastAsia="黑体"/>
          <w:b w:val="0"/>
          <w:bCs/>
          <w:szCs w:val="32"/>
        </w:rPr>
      </w:pPr>
      <w:r>
        <w:rPr>
          <w:rStyle w:val="13"/>
          <w:rFonts w:hint="eastAsia" w:ascii="Times New Roman" w:hAnsi="Times New Roman" w:eastAsia="黑体"/>
          <w:b w:val="0"/>
          <w:bCs/>
          <w:szCs w:val="32"/>
        </w:rPr>
        <w:t>第一章</w:t>
      </w:r>
      <w:r>
        <w:rPr>
          <w:rStyle w:val="13"/>
          <w:rFonts w:hint="eastAsia" w:ascii="Times New Roman" w:hAnsi="Times New Roman" w:eastAsia="黑体"/>
          <w:b w:val="0"/>
          <w:bCs/>
          <w:szCs w:val="32"/>
          <w:lang w:eastAsia="zh-CN"/>
        </w:rPr>
        <w:t>　</w:t>
      </w:r>
      <w:r>
        <w:rPr>
          <w:rStyle w:val="13"/>
          <w:rFonts w:hint="eastAsia" w:ascii="Times New Roman" w:hAnsi="Times New Roman" w:eastAsia="黑体"/>
          <w:b w:val="0"/>
          <w:bCs/>
          <w:szCs w:val="32"/>
        </w:rPr>
        <w:t>总</w:t>
      </w:r>
      <w:r>
        <w:rPr>
          <w:rStyle w:val="13"/>
          <w:rFonts w:hint="eastAsia" w:ascii="Times New Roman" w:hAnsi="Times New Roman" w:eastAsia="黑体"/>
          <w:b w:val="0"/>
          <w:bCs/>
          <w:szCs w:val="32"/>
          <w:lang w:eastAsia="zh-CN"/>
        </w:rPr>
        <w:t>　　</w:t>
      </w:r>
      <w:r>
        <w:rPr>
          <w:rStyle w:val="13"/>
          <w:rFonts w:hint="eastAsia" w:ascii="Times New Roman" w:hAnsi="Times New Roman" w:eastAsia="黑体"/>
          <w:b w:val="0"/>
          <w:bCs/>
          <w:szCs w:val="32"/>
        </w:rPr>
        <w:t>则</w:t>
      </w:r>
    </w:p>
    <w:p w14:paraId="2ABCD0D3">
      <w:pPr>
        <w:pStyle w:val="17"/>
        <w:bidi w:val="0"/>
        <w:rPr>
          <w:rFonts w:hint="eastAsia"/>
        </w:rPr>
      </w:pPr>
    </w:p>
    <w:p w14:paraId="4A1E0256">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第一条</w:t>
      </w:r>
      <w:r>
        <w:rPr>
          <w:rFonts w:hint="eastAsia"/>
          <w:lang w:eastAsia="zh-CN"/>
        </w:rPr>
        <w:t>　</w:t>
      </w:r>
      <w:r>
        <w:rPr>
          <w:rFonts w:hint="eastAsia"/>
        </w:rPr>
        <w:t>为了促进慈善事业发展，弘扬慈善文化，规范慈善活动，保护慈善活动参与者的合法权益，发挥慈善事业在第三次分配中的作用，根据《中华人民共和国慈善法》《江苏省慈善条例》等法律、法规，结合本市实际，制定本条例。</w:t>
      </w:r>
    </w:p>
    <w:p w14:paraId="4F568DA0">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第二条</w:t>
      </w:r>
      <w:r>
        <w:rPr>
          <w:rFonts w:hint="eastAsia"/>
          <w:lang w:eastAsia="zh-CN"/>
        </w:rPr>
        <w:t>　</w:t>
      </w:r>
      <w:r>
        <w:rPr>
          <w:rFonts w:hint="eastAsia"/>
        </w:rPr>
        <w:t>本市行政区域内慈善促进工作及其相关活动，适用本条例。</w:t>
      </w:r>
    </w:p>
    <w:p w14:paraId="139809B6">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第三条</w:t>
      </w:r>
      <w:r>
        <w:rPr>
          <w:rFonts w:hint="eastAsia"/>
          <w:lang w:eastAsia="zh-CN"/>
        </w:rPr>
        <w:t>　</w:t>
      </w:r>
      <w:r>
        <w:rPr>
          <w:rFonts w:hint="eastAsia"/>
        </w:rPr>
        <w:t>市、县级市（区）人民政府应当统筹、协调、督促和指导有关部门在各自职责范围内做好慈善事业的扶持发展和规范管理工作，将促进慈善事业发展列入本级国民经济和社会发展总体规划、相关专项计划和年度工作计划，制定促进慈善事业发展的政策和措施，并将促进慈善事业发展工作经费列入本级财政预算。</w:t>
      </w:r>
    </w:p>
    <w:p w14:paraId="524D079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镇人民政府、街道办事处应当做好辖区内慈善促进工作，支持开展慈善活动。</w:t>
      </w:r>
    </w:p>
    <w:p w14:paraId="4C3C1371">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第四条</w:t>
      </w:r>
      <w:r>
        <w:rPr>
          <w:rFonts w:hint="eastAsia"/>
          <w:lang w:eastAsia="zh-CN"/>
        </w:rPr>
        <w:t>　</w:t>
      </w:r>
      <w:r>
        <w:rPr>
          <w:rFonts w:hint="eastAsia"/>
        </w:rPr>
        <w:t>市、县级市（区）民政部门主管本行政区域内的慈善工作，建立健全与有关部门和慈善组织的慈善信息共享机制，会同有关部门加强对慈善组织及其活动的监督、管理和服务，促进慈善事业发展。</w:t>
      </w:r>
    </w:p>
    <w:p w14:paraId="103E1DE0">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市、县级市（区）有关部门应当按照各自职责，共同做好慈善促进工作。</w:t>
      </w:r>
    </w:p>
    <w:p w14:paraId="2043E2D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慈善组织有业务主管单位的，业务主管单位应当对其进行指导、监督。</w:t>
      </w:r>
    </w:p>
    <w:p w14:paraId="7693BE59">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第五条</w:t>
      </w:r>
      <w:r>
        <w:rPr>
          <w:rFonts w:hint="eastAsia"/>
          <w:lang w:eastAsia="zh-CN"/>
        </w:rPr>
        <w:t>　</w:t>
      </w:r>
      <w:r>
        <w:rPr>
          <w:rFonts w:hint="eastAsia"/>
        </w:rPr>
        <w:t>鼓励和支持自然人、法人和非法人组织践行社会主义核心价值观，弘扬中华民族传统美德，依法开展慈善活动，共同营造“文明苏州，向上向善”的社会氛围。</w:t>
      </w:r>
    </w:p>
    <w:p w14:paraId="497807F8">
      <w:pPr>
        <w:pStyle w:val="17"/>
        <w:bidi w:val="0"/>
        <w:rPr>
          <w:rFonts w:hint="eastAsia"/>
        </w:rPr>
      </w:pPr>
    </w:p>
    <w:p w14:paraId="22F41CD8">
      <w:pPr>
        <w:pStyle w:val="5"/>
        <w:bidi w:val="0"/>
        <w:rPr>
          <w:rFonts w:hint="eastAsia"/>
        </w:rPr>
      </w:pPr>
      <w:r>
        <w:rPr>
          <w:rFonts w:hint="eastAsia"/>
        </w:rPr>
        <w:t>第二章</w:t>
      </w:r>
      <w:r>
        <w:rPr>
          <w:rFonts w:hint="eastAsia"/>
          <w:lang w:eastAsia="zh-CN"/>
        </w:rPr>
        <w:t>　</w:t>
      </w:r>
      <w:r>
        <w:rPr>
          <w:rFonts w:hint="eastAsia"/>
        </w:rPr>
        <w:t>慈善组织</w:t>
      </w:r>
    </w:p>
    <w:p w14:paraId="57A82716">
      <w:pPr>
        <w:pStyle w:val="17"/>
        <w:bidi w:val="0"/>
        <w:rPr>
          <w:rFonts w:hint="eastAsia"/>
        </w:rPr>
      </w:pPr>
    </w:p>
    <w:p w14:paraId="5CFDE8ED">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第六条</w:t>
      </w:r>
      <w:r>
        <w:rPr>
          <w:rFonts w:hint="eastAsia"/>
          <w:lang w:eastAsia="zh-CN"/>
        </w:rPr>
        <w:t>　</w:t>
      </w:r>
      <w:r>
        <w:rPr>
          <w:rFonts w:hint="eastAsia"/>
        </w:rPr>
        <w:t>慈善组织可以采取基金会、社会团体、社会服务机构等组织形式。</w:t>
      </w:r>
    </w:p>
    <w:p w14:paraId="7A8C61A9">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设立慈善组织，应当依法向市、县级市（区）民政部门申请登记。</w:t>
      </w:r>
    </w:p>
    <w:p w14:paraId="47448F2D">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已经设立的基金会、社会团体、社会服务机构等非营利性组织，可以依法向办理其登记的民政部门申请认定为慈善组织。</w:t>
      </w:r>
    </w:p>
    <w:p w14:paraId="5A2B68E9">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第七条</w:t>
      </w:r>
      <w:r>
        <w:rPr>
          <w:rFonts w:hint="eastAsia"/>
          <w:lang w:eastAsia="zh-CN"/>
        </w:rPr>
        <w:t>　</w:t>
      </w:r>
      <w:r>
        <w:rPr>
          <w:rFonts w:hint="eastAsia"/>
        </w:rPr>
        <w:t>民政部门应当多元化培育发展慈善组织。重点培育扶贫、济困、扶老、救孤、恤病、助残、优抚、心理援助等慈善组织，加快发展生态环境保护、乡村振兴、基层治理、应急救助等领域的慈善组织。</w:t>
      </w:r>
    </w:p>
    <w:p w14:paraId="5B3554DC">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鼓励企业、学校、医院、科研院所等依法设立慈善组织。</w:t>
      </w:r>
    </w:p>
    <w:p w14:paraId="4329F57D">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第八条</w:t>
      </w:r>
      <w:r>
        <w:rPr>
          <w:rFonts w:hint="eastAsia"/>
          <w:lang w:eastAsia="zh-CN"/>
        </w:rPr>
        <w:t>　</w:t>
      </w:r>
      <w:r>
        <w:rPr>
          <w:rFonts w:hint="eastAsia"/>
        </w:rPr>
        <w:t>慈善组织应当依法向社会公开组织章程和决策、执行、监督机构成员信息以及国务院民政部门要求公开的其他信息，每年向社会公开其年度工作报告、财务会计报告。</w:t>
      </w:r>
    </w:p>
    <w:p w14:paraId="1F869A86">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信息公开应当真实、完整、及时，不得有虚假记载、误导性陈述或者重大遗漏。</w:t>
      </w:r>
    </w:p>
    <w:p w14:paraId="7B0B0F86">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第九条</w:t>
      </w:r>
      <w:r>
        <w:rPr>
          <w:rFonts w:hint="eastAsia"/>
          <w:lang w:eastAsia="zh-CN"/>
        </w:rPr>
        <w:t>　</w:t>
      </w:r>
      <w:r>
        <w:rPr>
          <w:rFonts w:hint="eastAsia"/>
        </w:rPr>
        <w:t>慈善组织应当建立健全档案管理制度，根据国家有关规定做好慈善项目、活动、会计等档案资料的收集、整理、保管和应用工作。</w:t>
      </w:r>
    </w:p>
    <w:p w14:paraId="4CAB2973">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第十条</w:t>
      </w:r>
      <w:r>
        <w:rPr>
          <w:rFonts w:hint="eastAsia"/>
          <w:lang w:eastAsia="zh-CN"/>
        </w:rPr>
        <w:t>　</w:t>
      </w:r>
      <w:r>
        <w:rPr>
          <w:rFonts w:hint="eastAsia"/>
        </w:rPr>
        <w:t>鼓励慈善组织依法成立行业组织。</w:t>
      </w:r>
    </w:p>
    <w:p w14:paraId="788C5F93">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慈善行业组织应当反映行业诉求、维护行业权益、推动行业交流，建立健全行业规范，加强行业自律，提高慈善行业公信力，促进慈善事业发展。</w:t>
      </w:r>
    </w:p>
    <w:p w14:paraId="5311E567">
      <w:pPr>
        <w:pStyle w:val="17"/>
        <w:bidi w:val="0"/>
      </w:pPr>
    </w:p>
    <w:p w14:paraId="29ADA7B9">
      <w:pPr>
        <w:pStyle w:val="5"/>
        <w:bidi w:val="0"/>
        <w:rPr>
          <w:rFonts w:hint="eastAsia"/>
        </w:rPr>
      </w:pPr>
      <w:r>
        <w:rPr>
          <w:rFonts w:hint="eastAsia"/>
        </w:rPr>
        <w:t>第三章</w:t>
      </w:r>
      <w:r>
        <w:rPr>
          <w:rFonts w:hint="eastAsia"/>
          <w:lang w:eastAsia="zh-CN"/>
        </w:rPr>
        <w:t>　</w:t>
      </w:r>
      <w:r>
        <w:rPr>
          <w:rFonts w:hint="eastAsia"/>
        </w:rPr>
        <w:t>慈善活动</w:t>
      </w:r>
    </w:p>
    <w:p w14:paraId="426753F4">
      <w:pPr>
        <w:pStyle w:val="17"/>
        <w:bidi w:val="0"/>
        <w:rPr>
          <w:rFonts w:hint="eastAsia"/>
        </w:rPr>
      </w:pPr>
    </w:p>
    <w:p w14:paraId="07F5B93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第十一条</w:t>
      </w:r>
      <w:r>
        <w:rPr>
          <w:rFonts w:hint="eastAsia"/>
          <w:lang w:eastAsia="zh-CN"/>
        </w:rPr>
        <w:t>　</w:t>
      </w:r>
      <w:r>
        <w:rPr>
          <w:rFonts w:hint="eastAsia"/>
        </w:rPr>
        <w:t>自然人、法人和非法人组织可以通过捐赠财产或者提供服务等方式开展慈善活动。</w:t>
      </w:r>
    </w:p>
    <w:p w14:paraId="4BCABD77">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捐赠人捐赠的财产应当是其有权处分的合法财产。捐赠财产包括货币、实物、房屋、有价证券、股权、知识产权等有形和无形财产。</w:t>
      </w:r>
    </w:p>
    <w:p w14:paraId="2BCC3E0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鼓励捐赠人通过数字人民币的方式开展捐赠。鼓励慈善组织开设数字人民币账户，为数字人民币捐赠提供支持。</w:t>
      </w:r>
    </w:p>
    <w:p w14:paraId="0193D284">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第十二条</w:t>
      </w:r>
      <w:r>
        <w:rPr>
          <w:rFonts w:hint="eastAsia"/>
          <w:lang w:eastAsia="zh-CN"/>
        </w:rPr>
        <w:t>　</w:t>
      </w:r>
      <w:r>
        <w:rPr>
          <w:rFonts w:hint="eastAsia"/>
        </w:rPr>
        <w:t>鼓励自然人、法人和非法人组织通过冠名基金、项目、工程等方式开展慈善活动。</w:t>
      </w:r>
    </w:p>
    <w:p w14:paraId="70632566">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捐赠人可以与受益人、接受捐赠的慈善组织或者开展慈善活动的其他组织签订书面协议，对冠名捐赠的设立和取消条件、方式、期限等作出约定。</w:t>
      </w:r>
    </w:p>
    <w:p w14:paraId="07B0BB95">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第十三条</w:t>
      </w:r>
      <w:r>
        <w:rPr>
          <w:rFonts w:hint="eastAsia"/>
          <w:lang w:eastAsia="zh-CN"/>
        </w:rPr>
        <w:t>　</w:t>
      </w:r>
      <w:r>
        <w:rPr>
          <w:rFonts w:hint="eastAsia"/>
        </w:rPr>
        <w:t>鼓励设立慈善信托。</w:t>
      </w:r>
    </w:p>
    <w:p w14:paraId="665D75AF">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受托人应当建立完善的慈善信托业务管理制度和内部控制制度。</w:t>
      </w:r>
    </w:p>
    <w:p w14:paraId="1FCB32D6">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慈善信托财产及其收益，应当全部用于慈善目的。</w:t>
      </w:r>
    </w:p>
    <w:p w14:paraId="61357457">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第十四条</w:t>
      </w:r>
      <w:r>
        <w:rPr>
          <w:rFonts w:hint="eastAsia"/>
          <w:lang w:eastAsia="zh-CN"/>
        </w:rPr>
        <w:t>　</w:t>
      </w:r>
      <w:r>
        <w:rPr>
          <w:rFonts w:hint="eastAsia"/>
        </w:rPr>
        <w:t>慈善组织可以围绕扶贫济困、应急救助、社会公益等领域，为符合慈善帮扶条件的特定群体购买医疗保障、意外伤害、重大疾病等慈善保险。</w:t>
      </w:r>
    </w:p>
    <w:p w14:paraId="312A6154">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鼓励商业保险公司将慈善保险产品的收益捐赠慈善事业。</w:t>
      </w:r>
    </w:p>
    <w:p w14:paraId="53CB246E">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第十五条</w:t>
      </w:r>
      <w:r>
        <w:rPr>
          <w:rFonts w:hint="eastAsia"/>
          <w:lang w:eastAsia="zh-CN"/>
        </w:rPr>
        <w:t>　</w:t>
      </w:r>
      <w:r>
        <w:rPr>
          <w:rFonts w:hint="eastAsia"/>
        </w:rPr>
        <w:t>鼓励慈善组织将慈善活动与网络平台相结合，推动项目筹款、慈善宣传、信息公开相融合，增强慈善募捐能力，健全透明、高效、规范的运行机制。</w:t>
      </w:r>
    </w:p>
    <w:p w14:paraId="0EE2AFD3">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慈善组织通过互联网开展公开募捐的，应当在国务院民政部门指定的互联网公开募捐服务平台进行，并可以同时在其网站进行。</w:t>
      </w:r>
    </w:p>
    <w:p w14:paraId="79DE0B9C">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第十六条</w:t>
      </w:r>
      <w:r>
        <w:rPr>
          <w:rFonts w:hint="eastAsia"/>
          <w:lang w:eastAsia="zh-CN"/>
        </w:rPr>
        <w:t>　</w:t>
      </w:r>
      <w:r>
        <w:rPr>
          <w:rFonts w:hint="eastAsia"/>
        </w:rPr>
        <w:t>市、县级市（区）人民政府应当将应急慈善活动纳入突发事件应对体系，健全慈善领域应急预警响应机制，统筹各类应急慈善力量，及时有序引导慈善组织、志愿者等社会力量开展募捐和救助活动，提升应急慈善活动的效率和水平。</w:t>
      </w:r>
    </w:p>
    <w:p w14:paraId="4106EC05">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第十七条</w:t>
      </w:r>
      <w:r>
        <w:rPr>
          <w:rFonts w:hint="eastAsia"/>
          <w:lang w:eastAsia="zh-CN"/>
        </w:rPr>
        <w:t>　</w:t>
      </w:r>
      <w:r>
        <w:rPr>
          <w:rFonts w:hint="eastAsia"/>
        </w:rPr>
        <w:t>鼓励发展城乡社区慈善事业，发展社区慈善组织，设立社区慈善基金，引导群众、社区组织、单位参与慈善活动。</w:t>
      </w:r>
    </w:p>
    <w:p w14:paraId="5ADAFB45">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支持社区与社会组织、社会工作者、社区志愿者、社会慈善资源建立联动机制。</w:t>
      </w:r>
    </w:p>
    <w:p w14:paraId="57D55B88">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第十八条</w:t>
      </w:r>
      <w:r>
        <w:rPr>
          <w:rFonts w:hint="eastAsia"/>
          <w:lang w:eastAsia="zh-CN"/>
        </w:rPr>
        <w:t>　</w:t>
      </w:r>
      <w:r>
        <w:rPr>
          <w:rFonts w:hint="eastAsia"/>
        </w:rPr>
        <w:t>鼓励慈善组织围绕长三角一体化发展等国家战略，以及东西部协作、对口支援、对口合作等工作开展慈善交流活动。</w:t>
      </w:r>
    </w:p>
    <w:p w14:paraId="0BAE18EE">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eastAsia="黑体"/>
          <w:lang w:eastAsia="zh-CN"/>
        </w:rPr>
        <w:t>第十九条</w:t>
      </w:r>
      <w:r>
        <w:rPr>
          <w:rFonts w:hint="eastAsia"/>
          <w:lang w:eastAsia="zh-CN"/>
        </w:rPr>
        <w:t>　</w:t>
      </w:r>
      <w:r>
        <w:rPr>
          <w:rFonts w:hint="eastAsia"/>
        </w:rPr>
        <w:t>建立健全政府救助与慈善帮扶衔接工作机制，推动政府救助和慈善帮扶协调配合、资源统筹、优势互补、融合高效。</w:t>
      </w:r>
    </w:p>
    <w:p w14:paraId="479ACABE">
      <w:pPr>
        <w:pStyle w:val="17"/>
        <w:bidi w:val="0"/>
      </w:pPr>
    </w:p>
    <w:p w14:paraId="30DE7E31">
      <w:pPr>
        <w:pStyle w:val="5"/>
        <w:bidi w:val="0"/>
        <w:rPr>
          <w:rFonts w:hint="eastAsia"/>
        </w:rPr>
      </w:pPr>
      <w:r>
        <w:rPr>
          <w:rFonts w:hint="eastAsia"/>
        </w:rPr>
        <w:t>第四章</w:t>
      </w:r>
      <w:r>
        <w:rPr>
          <w:rFonts w:hint="eastAsia"/>
          <w:lang w:eastAsia="zh-CN"/>
        </w:rPr>
        <w:t>　</w:t>
      </w:r>
      <w:r>
        <w:rPr>
          <w:rFonts w:hint="eastAsia"/>
        </w:rPr>
        <w:t>慈善文化</w:t>
      </w:r>
    </w:p>
    <w:p w14:paraId="2BF0E58C">
      <w:pPr>
        <w:pStyle w:val="17"/>
        <w:bidi w:val="0"/>
        <w:rPr>
          <w:rFonts w:hint="eastAsia"/>
        </w:rPr>
      </w:pPr>
    </w:p>
    <w:p w14:paraId="17343860">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第二十条</w:t>
      </w:r>
      <w:r>
        <w:rPr>
          <w:rFonts w:hint="eastAsia"/>
          <w:lang w:eastAsia="zh-CN"/>
        </w:rPr>
        <w:t>　</w:t>
      </w:r>
      <w:r>
        <w:rPr>
          <w:rFonts w:hint="eastAsia"/>
        </w:rPr>
        <w:t>市、县级市（区）人民政府及其有关部门、慈善组织应当加强慈善文化建设，挖掘保护慈善历史文化遗存，丰富新时代慈善文化内涵，扶持慈善文学艺术创作，推进慈善广场、慈善公园、慈善展馆等慈善文化阵地建设，打造“乐善苏州”等慈善文化品牌，引导社会公众关心、支持、参与慈善事业。</w:t>
      </w:r>
    </w:p>
    <w:p w14:paraId="71AAE1AC">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第二十一条</w:t>
      </w:r>
      <w:r>
        <w:rPr>
          <w:rFonts w:hint="eastAsia"/>
          <w:lang w:eastAsia="zh-CN"/>
        </w:rPr>
        <w:t>　</w:t>
      </w:r>
      <w:r>
        <w:rPr>
          <w:rFonts w:hint="eastAsia"/>
        </w:rPr>
        <w:t>每年</w:t>
      </w:r>
      <w:r>
        <w:rPr>
          <w:rFonts w:hint="eastAsia" w:ascii="Times New Roman" w:hAnsi="Times New Roman"/>
        </w:rPr>
        <w:t>9</w:t>
      </w:r>
      <w:r>
        <w:rPr>
          <w:rFonts w:hint="eastAsia"/>
        </w:rPr>
        <w:t>月为苏州慈善月。</w:t>
      </w:r>
    </w:p>
    <w:p w14:paraId="12EDB92E">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市、县级市（区）人民政府及其有关部门应当在慈善月集中组织开展慈善宣传活动。</w:t>
      </w:r>
    </w:p>
    <w:p w14:paraId="5725341D">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鼓励慈善组织在慈善月集中组织开展慈善募捐活动。</w:t>
      </w:r>
    </w:p>
    <w:p w14:paraId="58F1E852">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第二十二条</w:t>
      </w:r>
      <w:r>
        <w:rPr>
          <w:rFonts w:hint="eastAsia"/>
          <w:lang w:eastAsia="zh-CN"/>
        </w:rPr>
        <w:t>　</w:t>
      </w:r>
      <w:r>
        <w:rPr>
          <w:rFonts w:hint="eastAsia"/>
        </w:rPr>
        <w:t>鼓励具有公开募捐资格的慈善组织开展慈善晚会、义演、义赛、义展等慈善文化活动。</w:t>
      </w:r>
    </w:p>
    <w:p w14:paraId="79064990">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第二十三条</w:t>
      </w:r>
      <w:r>
        <w:rPr>
          <w:rFonts w:hint="eastAsia"/>
          <w:lang w:eastAsia="zh-CN"/>
        </w:rPr>
        <w:t>　</w:t>
      </w:r>
      <w:r>
        <w:rPr>
          <w:rFonts w:hint="eastAsia"/>
        </w:rPr>
        <w:t>广播、电视、报刊、互联网等媒体应当安排一定的时段或者版面，播放或者刊登慈善公益广告，普及慈善知识，宣传慈善事迹，弘扬慈善文化，营造有利于慈善事业发展的良好氛围。</w:t>
      </w:r>
    </w:p>
    <w:p w14:paraId="5D3CD123">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第二十四条</w:t>
      </w:r>
      <w:r>
        <w:rPr>
          <w:rFonts w:hint="eastAsia"/>
          <w:lang w:eastAsia="zh-CN"/>
        </w:rPr>
        <w:t>　</w:t>
      </w:r>
      <w:r>
        <w:rPr>
          <w:rFonts w:hint="eastAsia"/>
        </w:rPr>
        <w:t>学校等教育机构应当将慈善文化纳入教育教学内容，通过多种形式宣传慈善文化，组织学生参加符合其身心特点的慈善活动，培育学生慈善理念。</w:t>
      </w:r>
    </w:p>
    <w:p w14:paraId="4A3CD39F">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鼓励和支持高等学校、科研机构和慈善组织开展慈善理论研究。</w:t>
      </w:r>
    </w:p>
    <w:p w14:paraId="6D5ACE57">
      <w:pPr>
        <w:pStyle w:val="17"/>
        <w:bidi w:val="0"/>
      </w:pPr>
    </w:p>
    <w:p w14:paraId="771A46DA">
      <w:pPr>
        <w:pStyle w:val="5"/>
        <w:bidi w:val="0"/>
        <w:rPr>
          <w:rFonts w:hint="eastAsia"/>
        </w:rPr>
      </w:pPr>
      <w:r>
        <w:rPr>
          <w:rFonts w:hint="eastAsia"/>
        </w:rPr>
        <w:t>第五章</w:t>
      </w:r>
      <w:r>
        <w:rPr>
          <w:rFonts w:hint="eastAsia"/>
          <w:lang w:eastAsia="zh-CN"/>
        </w:rPr>
        <w:t>　</w:t>
      </w:r>
      <w:r>
        <w:rPr>
          <w:rFonts w:hint="eastAsia"/>
        </w:rPr>
        <w:t>保障激励</w:t>
      </w:r>
    </w:p>
    <w:p w14:paraId="2CD22A8C">
      <w:pPr>
        <w:pStyle w:val="17"/>
        <w:bidi w:val="0"/>
        <w:rPr>
          <w:rFonts w:hint="eastAsia"/>
        </w:rPr>
      </w:pPr>
    </w:p>
    <w:p w14:paraId="12828484">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第二十五条</w:t>
      </w:r>
      <w:r>
        <w:rPr>
          <w:rFonts w:hint="eastAsia"/>
          <w:lang w:eastAsia="zh-CN"/>
        </w:rPr>
        <w:t>　</w:t>
      </w:r>
      <w:r>
        <w:rPr>
          <w:rFonts w:hint="eastAsia"/>
        </w:rPr>
        <w:t>慈善组织及其取得的收入依法享受税收优惠。</w:t>
      </w:r>
    </w:p>
    <w:p w14:paraId="458D8B16">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自然人、法人和非法人组织捐赠财产用于慈善活动的，依法享受税收优惠。</w:t>
      </w:r>
    </w:p>
    <w:p w14:paraId="44157FD7">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第二十六条</w:t>
      </w:r>
      <w:r>
        <w:rPr>
          <w:rFonts w:hint="eastAsia"/>
          <w:lang w:eastAsia="zh-CN"/>
        </w:rPr>
        <w:t>　</w:t>
      </w:r>
      <w:r>
        <w:rPr>
          <w:rFonts w:hint="eastAsia"/>
        </w:rPr>
        <w:t>鼓励自然人、法人和非法人组织为开展慈善活动提供场地支持、费用减免和其他便利。</w:t>
      </w:r>
    </w:p>
    <w:p w14:paraId="75B8170A">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第二十七条</w:t>
      </w:r>
      <w:r>
        <w:rPr>
          <w:rFonts w:hint="eastAsia"/>
          <w:lang w:eastAsia="zh-CN"/>
        </w:rPr>
        <w:t>　</w:t>
      </w:r>
      <w:r>
        <w:rPr>
          <w:rFonts w:hint="eastAsia"/>
        </w:rPr>
        <w:t>政府及其有关部门可以通过购买服务等方式，支持符合条件的慈善组织向社会提供服务，并依照有关政府采购的法律、法规向社会公开相关情况。</w:t>
      </w:r>
    </w:p>
    <w:p w14:paraId="4D329D23">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对符合福利彩票、体育彩票公益金使用原则和范围的慈善项目，可以由福利彩票、体育彩票公益金予以资助。</w:t>
      </w:r>
    </w:p>
    <w:p w14:paraId="3D0E534A">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第二十八条</w:t>
      </w:r>
      <w:r>
        <w:rPr>
          <w:rFonts w:hint="eastAsia"/>
          <w:lang w:eastAsia="zh-CN"/>
        </w:rPr>
        <w:t>　</w:t>
      </w:r>
      <w:r>
        <w:rPr>
          <w:rFonts w:hint="eastAsia"/>
        </w:rPr>
        <w:t>鼓励金融机构进行慈善类金融产品创新，为慈善财产提供保值增值服务，优化服务方式和流程，为慈善捐赠提供便捷服务。</w:t>
      </w:r>
    </w:p>
    <w:p w14:paraId="25778F13">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第二十九条</w:t>
      </w:r>
      <w:r>
        <w:rPr>
          <w:rFonts w:hint="eastAsia"/>
          <w:lang w:eastAsia="zh-CN"/>
        </w:rPr>
        <w:t>　</w:t>
      </w:r>
      <w:r>
        <w:rPr>
          <w:rFonts w:hint="eastAsia"/>
        </w:rPr>
        <w:t>民政部门应当会同人力资源和社会保障等部门，加强对慈善从业人员的职业技能培训。</w:t>
      </w:r>
    </w:p>
    <w:p w14:paraId="7F964E46">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慈善组织应当加强专业化建设，培养和引进慈善事业发展所需的资金劝募、项目实施、专业服务和宣传推广等人才，提高慈善服务水平。</w:t>
      </w:r>
    </w:p>
    <w:p w14:paraId="430D712F">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eastAsia="黑体"/>
          <w:lang w:eastAsia="zh-CN"/>
        </w:rPr>
        <w:t>第三十条</w:t>
      </w:r>
      <w:r>
        <w:rPr>
          <w:rFonts w:hint="eastAsia"/>
          <w:lang w:eastAsia="zh-CN"/>
        </w:rPr>
        <w:t>　</w:t>
      </w:r>
      <w:r>
        <w:rPr>
          <w:rFonts w:hint="eastAsia"/>
        </w:rPr>
        <w:t>为慈善事业做出较大贡献的个人，因其本人或者家庭生活遇到困难，向慈善组织提出救助申请的，慈善组织应当优先予以救助。</w:t>
      </w:r>
    </w:p>
    <w:p w14:paraId="6B8734E0">
      <w:pPr>
        <w:pStyle w:val="17"/>
        <w:bidi w:val="0"/>
      </w:pPr>
    </w:p>
    <w:p w14:paraId="54BADB38">
      <w:pPr>
        <w:pStyle w:val="5"/>
        <w:bidi w:val="0"/>
        <w:rPr>
          <w:rFonts w:hint="eastAsia"/>
        </w:rPr>
      </w:pPr>
      <w:r>
        <w:rPr>
          <w:rFonts w:hint="eastAsia"/>
        </w:rPr>
        <w:t>第六章</w:t>
      </w:r>
      <w:r>
        <w:rPr>
          <w:rFonts w:hint="eastAsia"/>
          <w:lang w:eastAsia="zh-CN"/>
        </w:rPr>
        <w:t>　</w:t>
      </w:r>
      <w:r>
        <w:rPr>
          <w:rFonts w:hint="eastAsia"/>
        </w:rPr>
        <w:t>附</w:t>
      </w:r>
      <w:r>
        <w:rPr>
          <w:rFonts w:hint="eastAsia"/>
          <w:lang w:eastAsia="zh-CN"/>
        </w:rPr>
        <w:t>　　</w:t>
      </w:r>
      <w:r>
        <w:rPr>
          <w:rFonts w:hint="eastAsia"/>
        </w:rPr>
        <w:t>则</w:t>
      </w:r>
    </w:p>
    <w:p w14:paraId="7458397F">
      <w:pPr>
        <w:pStyle w:val="17"/>
        <w:bidi w:val="0"/>
        <w:rPr>
          <w:rFonts w:hint="eastAsia"/>
        </w:rPr>
      </w:pPr>
    </w:p>
    <w:p w14:paraId="601EB80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第三十一条</w:t>
      </w:r>
      <w:r>
        <w:rPr>
          <w:rFonts w:hint="eastAsia"/>
          <w:lang w:eastAsia="zh-CN"/>
        </w:rPr>
        <w:t>　</w:t>
      </w:r>
      <w:r>
        <w:rPr>
          <w:rFonts w:hint="eastAsia"/>
        </w:rPr>
        <w:t>本条例自</w:t>
      </w:r>
      <w:r>
        <w:rPr>
          <w:rFonts w:hint="eastAsia" w:ascii="Times New Roman" w:hAnsi="Times New Roman"/>
        </w:rPr>
        <w:t>2024</w:t>
      </w:r>
      <w:r>
        <w:rPr>
          <w:rFonts w:hint="eastAsia"/>
        </w:rPr>
        <w:t>年</w:t>
      </w:r>
      <w:r>
        <w:rPr>
          <w:rFonts w:hint="eastAsia" w:ascii="Times New Roman" w:hAnsi="Times New Roman"/>
        </w:rPr>
        <w:t>9</w:t>
      </w:r>
      <w:r>
        <w:rPr>
          <w:rFonts w:hint="eastAsia"/>
        </w:rPr>
        <w:t>月</w:t>
      </w:r>
      <w:r>
        <w:rPr>
          <w:rFonts w:hint="eastAsia" w:ascii="Times New Roman" w:hAnsi="Times New Roman"/>
        </w:rPr>
        <w:t>1</w:t>
      </w:r>
      <w:r>
        <w:rPr>
          <w:rFonts w:hint="eastAsia"/>
        </w:rPr>
        <w:t>日起施行。</w:t>
      </w:r>
    </w:p>
    <w:p w14:paraId="26183885">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p>
    <w:sectPr>
      <w:footerReference r:id="rId3" w:type="default"/>
      <w:footerReference r:id="rId4" w:type="even"/>
      <w:pgSz w:w="11906" w:h="16838"/>
      <w:pgMar w:top="2098" w:right="1474" w:bottom="1985" w:left="1588" w:header="851" w:footer="397" w:gutter="0"/>
      <w:lnNumType w:countBy="0"/>
      <w:pgNumType w:fmt="decimal"/>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C81653">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BC12390">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4BC12390">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EEF65A">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F83B099">
                          <w:pPr>
                            <w:tabs>
                              <w:tab w:val="center" w:pos="4153"/>
                              <w:tab w:val="right" w:pos="8306"/>
                            </w:tabs>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3F83B099">
                    <w:pPr>
                      <w:tabs>
                        <w:tab w:val="center" w:pos="4153"/>
                        <w:tab w:val="right" w:pos="8306"/>
                      </w:tabs>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EyMjBlNGY5ZDViNDBkMGVkMmNmOWZlMjYyZGFlYzkifQ=="/>
  </w:docVars>
  <w:rsids>
    <w:rsidRoot w:val="080D40AD"/>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80D40AD"/>
    <w:rsid w:val="0AFB0486"/>
    <w:rsid w:val="0BA37602"/>
    <w:rsid w:val="0CFB142B"/>
    <w:rsid w:val="0D9804AC"/>
    <w:rsid w:val="0E3C1CFB"/>
    <w:rsid w:val="0EFF2906"/>
    <w:rsid w:val="11E4354D"/>
    <w:rsid w:val="125C6E10"/>
    <w:rsid w:val="14515052"/>
    <w:rsid w:val="151350A2"/>
    <w:rsid w:val="16DC7373"/>
    <w:rsid w:val="17E51656"/>
    <w:rsid w:val="183C74C7"/>
    <w:rsid w:val="1D291CFB"/>
    <w:rsid w:val="1D4F618B"/>
    <w:rsid w:val="205E01F7"/>
    <w:rsid w:val="21D74D73"/>
    <w:rsid w:val="220A23E4"/>
    <w:rsid w:val="234806C1"/>
    <w:rsid w:val="25973F8F"/>
    <w:rsid w:val="26EE0409"/>
    <w:rsid w:val="29484637"/>
    <w:rsid w:val="2A2102CB"/>
    <w:rsid w:val="2B3B078B"/>
    <w:rsid w:val="2C1077C7"/>
    <w:rsid w:val="2DF31F7F"/>
    <w:rsid w:val="2E681AF4"/>
    <w:rsid w:val="344634A2"/>
    <w:rsid w:val="351F3659"/>
    <w:rsid w:val="3591582E"/>
    <w:rsid w:val="35A26038"/>
    <w:rsid w:val="36DA0180"/>
    <w:rsid w:val="37441DBD"/>
    <w:rsid w:val="378116AE"/>
    <w:rsid w:val="385B52F0"/>
    <w:rsid w:val="38C72FA6"/>
    <w:rsid w:val="3B9A7E9A"/>
    <w:rsid w:val="3DE63740"/>
    <w:rsid w:val="3EDC65C2"/>
    <w:rsid w:val="3F497749"/>
    <w:rsid w:val="3FEA0D08"/>
    <w:rsid w:val="40302BBE"/>
    <w:rsid w:val="42560C0A"/>
    <w:rsid w:val="42B2200A"/>
    <w:rsid w:val="4499567F"/>
    <w:rsid w:val="44C164DB"/>
    <w:rsid w:val="47C979DB"/>
    <w:rsid w:val="481351D2"/>
    <w:rsid w:val="4860600B"/>
    <w:rsid w:val="50EB007B"/>
    <w:rsid w:val="53543565"/>
    <w:rsid w:val="546D287C"/>
    <w:rsid w:val="557D644E"/>
    <w:rsid w:val="558A062C"/>
    <w:rsid w:val="56345682"/>
    <w:rsid w:val="58C3686E"/>
    <w:rsid w:val="59F36CDF"/>
    <w:rsid w:val="5B9F227D"/>
    <w:rsid w:val="5FD73625"/>
    <w:rsid w:val="61D729C7"/>
    <w:rsid w:val="622F12CF"/>
    <w:rsid w:val="62F51D1A"/>
    <w:rsid w:val="64596ABE"/>
    <w:rsid w:val="653E08AD"/>
    <w:rsid w:val="6D176D30"/>
    <w:rsid w:val="6D695DCB"/>
    <w:rsid w:val="6DA51CA6"/>
    <w:rsid w:val="70822713"/>
    <w:rsid w:val="70A95AA7"/>
    <w:rsid w:val="71B9247E"/>
    <w:rsid w:val="74905ACD"/>
    <w:rsid w:val="74933140"/>
    <w:rsid w:val="79681B1A"/>
    <w:rsid w:val="7A805F15"/>
    <w:rsid w:val="7A861051"/>
    <w:rsid w:val="7C3A702B"/>
    <w:rsid w:val="7C4A4A2C"/>
    <w:rsid w:val="7CE40CE5"/>
    <w:rsid w:val="7D4C0330"/>
    <w:rsid w:val="7DD14A13"/>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3">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4">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5">
    <w:name w:val="heading 3"/>
    <w:basedOn w:val="1"/>
    <w:next w:val="1"/>
    <w:unhideWhenUsed/>
    <w:qFormat/>
    <w:uiPriority w:val="9"/>
    <w:pPr>
      <w:keepNext/>
      <w:keepLines/>
      <w:spacing w:line="240" w:lineRule="auto"/>
      <w:jc w:val="center"/>
      <w:outlineLvl w:val="2"/>
    </w:pPr>
    <w:rPr>
      <w:rFonts w:eastAsia="黑体"/>
      <w:bCs/>
      <w:szCs w:val="32"/>
    </w:rPr>
  </w:style>
  <w:style w:type="paragraph" w:styleId="6">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12">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2">
    <w:name w:val="toc 3"/>
    <w:basedOn w:val="1"/>
    <w:next w:val="1"/>
    <w:qFormat/>
    <w:uiPriority w:val="0"/>
    <w:pPr>
      <w:ind w:left="420"/>
    </w:pPr>
    <w:rPr>
      <w:rFonts w:ascii="等线" w:eastAsia="等线"/>
      <w:b/>
      <w:sz w:val="30"/>
      <w:szCs w:val="30"/>
    </w:rPr>
  </w:style>
  <w:style w:type="paragraph" w:styleId="7">
    <w:name w:val="Normal Indent"/>
    <w:basedOn w:val="1"/>
    <w:next w:val="2"/>
    <w:uiPriority w:val="0"/>
    <w:pPr>
      <w:widowControl w:val="0"/>
      <w:overflowPunct w:val="0"/>
      <w:snapToGrid w:val="0"/>
      <w:spacing w:line="590" w:lineRule="exact"/>
      <w:ind w:firstLine="200" w:firstLineChars="200"/>
      <w:jc w:val="both"/>
    </w:pPr>
    <w:rPr>
      <w:rFonts w:ascii="Calibri" w:hAnsi="Calibri" w:eastAsia="宋体" w:cs="Times New Roman"/>
      <w:kern w:val="2"/>
      <w:sz w:val="21"/>
      <w:szCs w:val="22"/>
      <w:lang w:val="en-US" w:eastAsia="zh-CN" w:bidi="ar-SA"/>
    </w:rPr>
  </w:style>
  <w:style w:type="paragraph" w:styleId="8">
    <w:name w:val="footer"/>
    <w:basedOn w:val="1"/>
    <w:qFormat/>
    <w:uiPriority w:val="0"/>
    <w:pPr>
      <w:framePr w:wrap="around" w:vAnchor="text" w:hAnchor="margin" w:xAlign="outside" w:y="1"/>
      <w:tabs>
        <w:tab w:val="center" w:pos="4153"/>
        <w:tab w:val="right" w:pos="8306"/>
      </w:tabs>
      <w:wordWrap w:val="0"/>
      <w:overflowPunct w:val="0"/>
      <w:spacing w:line="400" w:lineRule="atLeast"/>
      <w:ind w:firstLine="0" w:firstLineChars="0"/>
      <w:jc w:val="left"/>
    </w:pPr>
    <w:rPr>
      <w:sz w:val="30"/>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itle"/>
    <w:basedOn w:val="1"/>
    <w:qFormat/>
    <w:uiPriority w:val="10"/>
    <w:pPr>
      <w:spacing w:before="240" w:beforeLines="0" w:beforeAutospacing="0" w:after="60" w:afterLines="0" w:afterAutospacing="0"/>
      <w:jc w:val="center"/>
      <w:outlineLvl w:val="0"/>
    </w:pPr>
    <w:rPr>
      <w:rFonts w:ascii="Arial" w:hAnsi="Arial"/>
      <w:b/>
      <w:sz w:val="32"/>
    </w:rPr>
  </w:style>
  <w:style w:type="character" w:styleId="13">
    <w:name w:val="Strong"/>
    <w:qFormat/>
    <w:uiPriority w:val="0"/>
    <w:rPr>
      <w:b/>
      <w:bCs/>
    </w:rPr>
  </w:style>
  <w:style w:type="paragraph" w:customStyle="1" w:styleId="14">
    <w:name w:val="ab-法规题注"/>
    <w:basedOn w:val="1"/>
    <w:qFormat/>
    <w:uiPriority w:val="0"/>
    <w:pPr>
      <w:ind w:left="632" w:leftChars="200" w:right="632" w:rightChars="200"/>
    </w:pPr>
    <w:rPr>
      <w:rFonts w:ascii="Times New Roman" w:hAnsi="Times New Roman" w:eastAsia="楷体_GB2312"/>
    </w:rPr>
  </w:style>
  <w:style w:type="paragraph" w:customStyle="1" w:styleId="15">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6">
    <w:name w:val="ad-法规目录列表章"/>
    <w:basedOn w:val="1"/>
    <w:qFormat/>
    <w:uiPriority w:val="0"/>
    <w:pPr>
      <w:ind w:left="632" w:leftChars="200" w:right="632" w:rightChars="200"/>
      <w:jc w:val="left"/>
    </w:pPr>
    <w:rPr>
      <w:rFonts w:ascii="楷体_GB2312" w:hAnsi="楷体_GB2312" w:eastAsia="楷体_GB2312"/>
    </w:rPr>
  </w:style>
  <w:style w:type="paragraph" w:customStyle="1" w:styleId="17">
    <w:name w:val="af-法规空行"/>
    <w:basedOn w:val="1"/>
    <w:next w:val="1"/>
    <w:qFormat/>
    <w:uiPriority w:val="0"/>
    <w:rPr>
      <w:rFonts w:hint="eastAsia" w:eastAsia="宋体"/>
    </w:rPr>
  </w:style>
  <w:style w:type="paragraph" w:customStyle="1" w:styleId="18">
    <w:name w:val="ae-法规目录列表节"/>
    <w:basedOn w:val="1"/>
    <w:qFormat/>
    <w:uiPriority w:val="0"/>
    <w:pPr>
      <w:ind w:left="1264" w:leftChars="400" w:right="1264" w:rightChars="400"/>
      <w:jc w:val="left"/>
    </w:pPr>
    <w:rPr>
      <w:rFonts w:ascii="楷体_GB2312" w:hAnsi="楷体_GB2312" w:eastAsia="楷体_GB2312"/>
    </w:rPr>
  </w:style>
  <w:style w:type="paragraph" w:customStyle="1" w:styleId="19">
    <w:name w:val="列出段落"/>
    <w:basedOn w:val="1"/>
    <w:qFormat/>
    <w:uiPriority w:val="0"/>
    <w:pPr>
      <w:widowControl w:val="0"/>
      <w:overflowPunct w:val="0"/>
      <w:snapToGrid w:val="0"/>
      <w:spacing w:line="590" w:lineRule="exact"/>
      <w:ind w:firstLine="200" w:firstLineChars="200"/>
      <w:jc w:val="both"/>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8</Pages>
  <Words>2895</Words>
  <Characters>2906</Characters>
  <Lines>0</Lines>
  <Paragraphs>0</Paragraphs>
  <TotalTime>1</TotalTime>
  <ScaleCrop>false</ScaleCrop>
  <LinksUpToDate>false</LinksUpToDate>
  <CharactersWithSpaces>2956</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马儿</cp:lastModifiedBy>
  <dcterms:modified xsi:type="dcterms:W3CDTF">2024-08-19T02:19:11Z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7CA1149BBDD145AEBCF8D97952F7D7A3_13</vt:lpwstr>
  </property>
  <property fmtid="{D5CDD505-2E9C-101B-9397-08002B2CF9AE}" pid="3" name="KSOProductBuildVer">
    <vt:lpwstr>2052-12.1.0.17827</vt:lpwstr>
  </property>
</Properties>
</file>