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bCs/>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0"/>
          <w:sz w:val="44"/>
          <w:szCs w:val="44"/>
        </w:rPr>
      </w:pPr>
      <w:r>
        <w:rPr>
          <w:rFonts w:hint="eastAsia" w:ascii="宋体" w:hAnsi="宋体" w:eastAsia="宋体" w:cs="宋体"/>
          <w:spacing w:val="0"/>
          <w:sz w:val="44"/>
          <w:szCs w:val="44"/>
        </w:rPr>
        <w:t>荆州市人民代表大会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0"/>
          <w:sz w:val="32"/>
          <w:szCs w:val="32"/>
        </w:rPr>
      </w:pPr>
      <w:r>
        <w:rPr>
          <w:rFonts w:hint="eastAsia" w:ascii="宋体" w:hAnsi="宋体" w:eastAsia="宋体" w:cs="宋体"/>
          <w:spacing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lang w:eastAsia="zh-CN"/>
        </w:rPr>
        <w:t>（</w:t>
      </w:r>
      <w:r>
        <w:rPr>
          <w:rFonts w:hint="eastAsia" w:ascii="楷体_GB2312" w:hAnsi="楷体_GB2312" w:eastAsia="楷体_GB2312" w:cs="楷体_GB2312"/>
          <w:spacing w:val="0"/>
          <w:sz w:val="32"/>
          <w:szCs w:val="32"/>
        </w:rPr>
        <w:t>2016年1月22日荆州市第四届人民代表大会第六次会议通过</w:t>
      </w:r>
      <w:r>
        <w:rPr>
          <w:rFonts w:hint="eastAsia" w:ascii="楷体_GB2312" w:hAnsi="楷体_GB2312" w:eastAsia="楷体_GB2312" w:cs="楷体_GB2312"/>
          <w:spacing w:val="0"/>
          <w:sz w:val="32"/>
          <w:szCs w:val="32"/>
          <w:lang w:val="en-US" w:eastAsia="zh-CN"/>
        </w:rPr>
        <w:t>　</w:t>
      </w:r>
      <w:r>
        <w:rPr>
          <w:rFonts w:hint="eastAsia" w:ascii="楷体_GB2312" w:hAnsi="楷体_GB2312" w:eastAsia="楷体_GB2312" w:cs="楷体_GB2312"/>
          <w:spacing w:val="0"/>
          <w:sz w:val="32"/>
          <w:szCs w:val="32"/>
        </w:rPr>
        <w:t>2016年3月30日湖北省第十二届人民代表大会常务委员会第二十一次会议批准</w:t>
      </w:r>
      <w:r>
        <w:rPr>
          <w:rFonts w:hint="eastAsia" w:ascii="楷体_GB2312" w:hAnsi="楷体_GB2312" w:eastAsia="楷体_GB2312" w:cs="楷体_GB2312"/>
          <w:spacing w:val="0"/>
          <w:sz w:val="32"/>
          <w:szCs w:val="32"/>
          <w:lang w:eastAsia="zh-CN"/>
        </w:rPr>
        <w:t>）</w:t>
      </w:r>
      <w:r>
        <w:rPr>
          <w:rStyle w:val="9"/>
          <w:rFonts w:hint="eastAsia" w:ascii="楷体_GB2312" w:hAnsi="楷体_GB2312" w:eastAsia="楷体_GB2312" w:cs="楷体_GB2312"/>
          <w:spacing w:val="0"/>
          <w:sz w:val="32"/>
          <w:szCs w:val="32"/>
          <w:lang w:eastAsia="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w:t>
      </w:r>
      <w:r>
        <w:rPr>
          <w:rFonts w:hint="eastAsia" w:ascii="楷体_GB2312" w:hAnsi="楷体_GB2312" w:eastAsia="楷体_GB2312" w:cs="楷体_GB2312"/>
          <w:spacing w:val="0"/>
          <w:sz w:val="32"/>
          <w:szCs w:val="32"/>
          <w:lang w:val="en-US" w:eastAsia="zh-CN"/>
        </w:rPr>
        <w:t>　　</w:t>
      </w:r>
      <w:r>
        <w:rPr>
          <w:rFonts w:hint="eastAsia" w:ascii="楷体_GB2312" w:hAnsi="楷体_GB2312" w:eastAsia="楷体_GB2312" w:cs="楷体_GB2312"/>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第一章</w:t>
      </w:r>
      <w:r>
        <w:rPr>
          <w:rFonts w:hint="eastAsia" w:ascii="楷体_GB2312" w:hAnsi="楷体_GB2312" w:eastAsia="楷体_GB2312" w:cs="楷体_GB2312"/>
          <w:spacing w:val="0"/>
          <w:sz w:val="32"/>
          <w:szCs w:val="32"/>
          <w:lang w:val="en-US" w:eastAsia="zh-CN"/>
        </w:rPr>
        <w:t>　</w:t>
      </w:r>
      <w:r>
        <w:rPr>
          <w:rFonts w:hint="eastAsia" w:ascii="楷体_GB2312" w:hAnsi="楷体_GB2312" w:eastAsia="楷体_GB2312" w:cs="楷体_GB2312"/>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第二章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第一节</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第二节</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第三章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第一节</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第二节</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第四章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第五章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楷体_GB2312" w:hAnsi="楷体_GB2312" w:eastAsia="楷体_GB2312" w:cs="楷体_GB2312"/>
          <w:spacing w:val="0"/>
          <w:sz w:val="32"/>
          <w:szCs w:val="32"/>
        </w:rPr>
      </w:pPr>
      <w:r>
        <w:rPr>
          <w:rFonts w:hint="eastAsia" w:ascii="宋体" w:hAnsi="宋体" w:cs="宋体"/>
          <w:spacing w:val="0"/>
          <w:sz w:val="32"/>
          <w:szCs w:val="32"/>
          <w:lang w:val="en-US" w:eastAsia="zh-CN"/>
        </w:rPr>
        <w:t>　　</w:t>
      </w:r>
      <w:r>
        <w:rPr>
          <w:rFonts w:hint="eastAsia" w:ascii="楷体_GB2312" w:hAnsi="楷体_GB2312" w:eastAsia="楷体_GB2312" w:cs="楷体_GB2312"/>
          <w:spacing w:val="0"/>
          <w:sz w:val="32"/>
          <w:szCs w:val="32"/>
        </w:rPr>
        <w:t>第六章</w:t>
      </w:r>
      <w:r>
        <w:rPr>
          <w:rFonts w:hint="eastAsia" w:ascii="楷体_GB2312" w:hAnsi="楷体_GB2312" w:eastAsia="楷体_GB2312" w:cs="楷体_GB2312"/>
          <w:spacing w:val="0"/>
          <w:sz w:val="32"/>
          <w:szCs w:val="32"/>
          <w:lang w:eastAsia="zh-CN"/>
        </w:rPr>
        <w:t>　</w:t>
      </w:r>
      <w:r>
        <w:rPr>
          <w:rFonts w:hint="eastAsia" w:ascii="楷体_GB2312" w:hAnsi="楷体_GB2312" w:eastAsia="楷体_GB2312" w:cs="楷体_GB2312"/>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0"/>
          <w:sz w:val="32"/>
          <w:szCs w:val="32"/>
        </w:rPr>
      </w:pPr>
      <w:r>
        <w:rPr>
          <w:rFonts w:hint="eastAsia" w:ascii="黑体" w:hAnsi="黑体" w:eastAsia="黑体" w:cs="黑体"/>
          <w:spacing w:val="0"/>
          <w:sz w:val="32"/>
          <w:szCs w:val="32"/>
        </w:rPr>
        <w:t>第一章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为了规范荆州市人民代表大会及其常务委员会立法活动，完善立法程序，提高立法质量，发挥立法的引领和推动作用，全面推进法治荆州建设，根据宪法、地方组织法、立法法和本省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及其常务委员会根据本市的具体情况和实际需要，在不同宪法、法律、行政法规和本省地方性法规相抵触的前提下，可以对城乡建设与管理、环境保护、历史文化保护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制定地方性法规，应当遵循立法法规定的基本原则，坚持不抵触、有特色、可操作，突出务实管用。对上位法已经明确规定的内容，一般不作重复性规定。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市人民代表大会及其常务委员会应当依法立法、科学立法、民主立法，加强立法工作组织协调，发挥在立法工作中的主导作用，注重提高立法质量。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第二章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spacing w:val="0"/>
          <w:sz w:val="32"/>
          <w:szCs w:val="32"/>
        </w:rPr>
      </w:pPr>
      <w:r>
        <w:rPr>
          <w:rFonts w:hint="eastAsia" w:ascii="宋体" w:hAnsi="宋体" w:eastAsia="宋体" w:cs="宋体"/>
          <w:b w:val="0"/>
          <w:bCs/>
          <w:spacing w:val="0"/>
          <w:sz w:val="32"/>
          <w:szCs w:val="32"/>
        </w:rPr>
        <w:t>第一节</w:t>
      </w:r>
      <w:r>
        <w:rPr>
          <w:rFonts w:hint="eastAsia" w:ascii="黑体" w:hAnsi="黑体" w:eastAsia="黑体" w:cs="黑体"/>
          <w:b w:val="0"/>
          <w:bCs/>
          <w:spacing w:val="0"/>
          <w:sz w:val="32"/>
          <w:szCs w:val="32"/>
          <w:lang w:eastAsia="zh-CN"/>
        </w:rPr>
        <w:t>　</w:t>
      </w:r>
      <w:r>
        <w:rPr>
          <w:rFonts w:hint="eastAsia" w:ascii="宋体" w:hAnsi="宋体" w:eastAsia="宋体" w:cs="宋体"/>
          <w:b w:val="0"/>
          <w:bCs/>
          <w:spacing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常务委员会应当编制年度立法计划，根据需要编制本届任期内的立法规划。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黑体" w:hAnsi="黑体" w:eastAsia="黑体" w:cs="黑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工作机构根据市人民代表大会专门委员会（以下简称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spacing w:val="0"/>
          <w:sz w:val="32"/>
          <w:szCs w:val="32"/>
        </w:rPr>
      </w:pPr>
      <w:r>
        <w:rPr>
          <w:rFonts w:hint="eastAsia" w:ascii="宋体" w:hAnsi="宋体" w:eastAsia="宋体" w:cs="宋体"/>
          <w:b w:val="0"/>
          <w:bCs/>
          <w:spacing w:val="0"/>
          <w:sz w:val="32"/>
          <w:szCs w:val="32"/>
        </w:rPr>
        <w:t>第二节</w:t>
      </w:r>
      <w:r>
        <w:rPr>
          <w:rFonts w:hint="eastAsia" w:ascii="黑体" w:hAnsi="黑体" w:eastAsia="黑体" w:cs="黑体"/>
          <w:b w:val="0"/>
          <w:bCs/>
          <w:spacing w:val="0"/>
          <w:sz w:val="32"/>
          <w:szCs w:val="32"/>
          <w:lang w:eastAsia="zh-CN"/>
        </w:rPr>
        <w:t>　</w:t>
      </w:r>
      <w:r>
        <w:rPr>
          <w:rFonts w:hint="eastAsia" w:ascii="宋体" w:hAnsi="宋体" w:eastAsia="宋体" w:cs="宋体"/>
          <w:b w:val="0"/>
          <w:bCs/>
          <w:spacing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起草法规草案，应当深入调查研究，广泛征求相关方面意见。法规案提出时，提案人应当向常务委员会报告征求意见情况。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法规草案的起草单位应当向有关专门委员会和常务委员会工作机构报告起草工作进展情况。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0"/>
          <w:sz w:val="32"/>
          <w:szCs w:val="32"/>
        </w:rPr>
      </w:pPr>
      <w:r>
        <w:rPr>
          <w:rFonts w:hint="eastAsia" w:ascii="黑体" w:hAnsi="黑体" w:eastAsia="黑体" w:cs="黑体"/>
          <w:spacing w:val="0"/>
          <w:sz w:val="32"/>
          <w:szCs w:val="32"/>
        </w:rPr>
        <w:t>第三章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spacing w:val="0"/>
          <w:sz w:val="32"/>
          <w:szCs w:val="32"/>
        </w:rPr>
      </w:pPr>
      <w:r>
        <w:rPr>
          <w:rFonts w:hint="eastAsia" w:ascii="宋体" w:hAnsi="宋体" w:eastAsia="宋体" w:cs="宋体"/>
          <w:b w:val="0"/>
          <w:bCs/>
          <w:spacing w:val="0"/>
          <w:sz w:val="32"/>
          <w:szCs w:val="32"/>
        </w:rPr>
        <w:t>第一节</w:t>
      </w:r>
      <w:r>
        <w:rPr>
          <w:rFonts w:hint="eastAsia" w:ascii="黑体" w:hAnsi="黑体" w:eastAsia="黑体" w:cs="黑体"/>
          <w:b w:val="0"/>
          <w:bCs/>
          <w:spacing w:val="0"/>
          <w:sz w:val="32"/>
          <w:szCs w:val="32"/>
          <w:lang w:eastAsia="zh-CN"/>
        </w:rPr>
        <w:t>　</w:t>
      </w:r>
      <w:r>
        <w:rPr>
          <w:rFonts w:hint="eastAsia" w:ascii="宋体" w:hAnsi="宋体" w:eastAsia="宋体" w:cs="宋体"/>
          <w:b w:val="0"/>
          <w:bCs/>
          <w:spacing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spacing w:val="0"/>
          <w:sz w:val="32"/>
          <w:szCs w:val="32"/>
        </w:rPr>
      </w:pPr>
      <w:r>
        <w:rPr>
          <w:rFonts w:hint="eastAsia" w:ascii="宋体" w:hAnsi="宋体" w:eastAsia="宋体" w:cs="宋体"/>
          <w:b w:val="0"/>
          <w:bCs/>
          <w:spacing w:val="0"/>
          <w:sz w:val="32"/>
          <w:szCs w:val="32"/>
        </w:rPr>
        <w:t>第二节</w:t>
      </w:r>
      <w:r>
        <w:rPr>
          <w:rFonts w:hint="eastAsia" w:ascii="黑体" w:hAnsi="黑体" w:eastAsia="黑体" w:cs="黑体"/>
          <w:b w:val="0"/>
          <w:bCs/>
          <w:spacing w:val="0"/>
          <w:sz w:val="32"/>
          <w:szCs w:val="32"/>
          <w:lang w:eastAsia="zh-CN"/>
        </w:rPr>
        <w:t>　</w:t>
      </w:r>
      <w:r>
        <w:rPr>
          <w:rFonts w:hint="eastAsia" w:ascii="宋体" w:hAnsi="宋体" w:eastAsia="宋体" w:cs="宋体"/>
          <w:b w:val="0"/>
          <w:bCs/>
          <w:spacing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拟提请常务委员会会议审议的法规草案，应当在常务委员会会议举行的十五日前报送常务委员会，常务委员会工作机构应当及时送交有关专门委员会。未能提前十五日报送的，一般不列入本次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第二十九条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法制委员会审议法规案时，可以邀请有关专门委员会的成员列席会议，发表意见。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法规案有关问题存在重大意见分歧或者涉及利益关系重大调整，需要进行听证的，应当召开听证会，听取人民代表大会代表、基层群众、不同利益的利害关系人、专家、有关部门和单位、人民团体和社会有关方面的意见。采取听证的形式应在举行听证会之前十五日在《荆州日报》、荆州人大网上公告。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列入常务委员会会议议程的法规案，常务委员会工作机构应当在常务委员会会议后将法规草案及其说明等向社会公布，征求意见。向社会公布征求意见的时间一般不少于三十日。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常务委员会工作机构应当将法规草案发送下级人民代表大会常务委员会、相关领域的市人民代表大会代表以及有关部门、团体、组织和专家征求意见。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第三十九条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第四章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市人民政府、市中级人民法院、市人民检察院、专门委员会以及下级人民代表大会常务委员会可以向常务委员会提出法规解释要求。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0"/>
          <w:sz w:val="32"/>
          <w:szCs w:val="32"/>
        </w:rPr>
      </w:pPr>
      <w:r>
        <w:rPr>
          <w:rFonts w:hint="eastAsia" w:ascii="黑体" w:hAnsi="黑体" w:eastAsia="黑体" w:cs="黑体"/>
          <w:spacing w:val="0"/>
          <w:sz w:val="32"/>
          <w:szCs w:val="32"/>
        </w:rPr>
        <w:t>第五章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第四十八条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第四十九条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交付市人民代表大会及其常务委员会全体会议表决未获得通过的法规案，提案人可以在六个月后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地方性法规经批准后，常务委员会工作机构应当及时将常务委员会公告和法规文本在常务委员会公报、《荆州日报》和荆州人大网上刊登。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第五十一条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第五十二条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第五十三条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第五十四条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第五十五条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市人民代表大会及其常务委员会制定的地方性法规应当自公布之日起十五日内由常务委员会报省人民代表大会常务委员会，由省人民代表大会常务委员会报全国人民代表大会常务委员会和国务院备案。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第五十六条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0"/>
          <w:sz w:val="32"/>
          <w:szCs w:val="32"/>
        </w:rPr>
      </w:pPr>
      <w:r>
        <w:rPr>
          <w:rFonts w:hint="eastAsia" w:ascii="黑体" w:hAnsi="黑体" w:eastAsia="黑体" w:cs="黑体"/>
          <w:spacing w:val="0"/>
          <w:sz w:val="32"/>
          <w:szCs w:val="32"/>
        </w:rPr>
        <w:t>第六章</w:t>
      </w:r>
      <w:r>
        <w:rPr>
          <w:rFonts w:hint="eastAsia" w:ascii="黑体" w:hAnsi="黑体" w:eastAsia="黑体" w:cs="黑体"/>
          <w:spacing w:val="0"/>
          <w:sz w:val="32"/>
          <w:szCs w:val="32"/>
          <w:lang w:eastAsia="zh-CN"/>
        </w:rPr>
        <w:t>　</w:t>
      </w:r>
      <w:r>
        <w:rPr>
          <w:rFonts w:hint="eastAsia" w:ascii="黑体" w:hAnsi="黑体" w:eastAsia="黑体" w:cs="黑体"/>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0"/>
          <w:sz w:val="32"/>
          <w:szCs w:val="32"/>
        </w:rPr>
      </w:pPr>
      <w:r>
        <w:rPr>
          <w:rFonts w:hint="eastAsia" w:ascii="仿宋_GB2312" w:hAnsi="仿宋_GB2312" w:eastAsia="仿宋_GB2312" w:cs="仿宋_GB2312"/>
          <w:spacing w:val="0"/>
          <w:sz w:val="32"/>
          <w:szCs w:val="32"/>
          <w:lang w:val="en-US" w:eastAsia="zh-CN"/>
        </w:rPr>
        <w:t>　　</w:t>
      </w:r>
      <w:r>
        <w:rPr>
          <w:rFonts w:hint="eastAsia" w:ascii="黑体" w:hAnsi="黑体" w:eastAsia="黑体" w:cs="黑体"/>
          <w:spacing w:val="0"/>
          <w:sz w:val="32"/>
          <w:szCs w:val="32"/>
        </w:rPr>
        <w:t>第五十七条</w:t>
      </w:r>
      <w:r>
        <w:rPr>
          <w:rFonts w:hint="eastAsia" w:ascii="仿宋_GB2312" w:hAnsi="仿宋_GB2312" w:eastAsia="仿宋_GB2312" w:cs="仿宋_GB2312"/>
          <w:spacing w:val="0"/>
          <w:sz w:val="32"/>
          <w:szCs w:val="32"/>
          <w:lang w:eastAsia="zh-CN"/>
        </w:rPr>
        <w:t>　</w:t>
      </w:r>
      <w:r>
        <w:rPr>
          <w:rFonts w:hint="eastAsia" w:ascii="仿宋_GB2312" w:hAnsi="仿宋_GB2312" w:eastAsia="仿宋_GB2312" w:cs="仿宋_GB2312"/>
          <w:spacing w:val="0"/>
          <w:sz w:val="32"/>
          <w:szCs w:val="32"/>
        </w:rPr>
        <w:t>本条例自</w:t>
      </w:r>
      <w:r>
        <w:rPr>
          <w:rFonts w:hint="eastAsia" w:ascii="仿宋_GB2312" w:hAnsi="仿宋_GB2312" w:eastAsia="仿宋_GB2312" w:cs="仿宋_GB2312"/>
          <w:spacing w:val="0"/>
          <w:sz w:val="32"/>
          <w:szCs w:val="32"/>
          <w:lang w:val="en-US" w:eastAsia="zh-CN"/>
        </w:rPr>
        <w:t>2016</w:t>
      </w:r>
      <w:r>
        <w:rPr>
          <w:rFonts w:hint="eastAsia" w:ascii="仿宋_GB2312" w:hAnsi="仿宋_GB2312" w:eastAsia="仿宋_GB2312" w:cs="仿宋_GB2312"/>
          <w:spacing w:val="0"/>
          <w:sz w:val="32"/>
          <w:szCs w:val="32"/>
        </w:rPr>
        <w:t>年</w:t>
      </w:r>
      <w:r>
        <w:rPr>
          <w:rFonts w:hint="eastAsia" w:ascii="仿宋_GB2312" w:hAnsi="仿宋_GB2312" w:eastAsia="仿宋_GB2312" w:cs="仿宋_GB2312"/>
          <w:spacing w:val="0"/>
          <w:sz w:val="32"/>
          <w:szCs w:val="32"/>
          <w:lang w:val="en-US" w:eastAsia="zh-CN"/>
        </w:rPr>
        <w:t>4</w:t>
      </w:r>
      <w:r>
        <w:rPr>
          <w:rFonts w:hint="eastAsia" w:ascii="仿宋_GB2312" w:hAnsi="仿宋_GB2312" w:eastAsia="仿宋_GB2312" w:cs="仿宋_GB2312"/>
          <w:spacing w:val="0"/>
          <w:sz w:val="32"/>
          <w:szCs w:val="32"/>
        </w:rPr>
        <w:t>月</w:t>
      </w:r>
      <w:r>
        <w:rPr>
          <w:rFonts w:hint="eastAsia" w:ascii="仿宋_GB2312" w:hAnsi="仿宋_GB2312" w:eastAsia="仿宋_GB2312" w:cs="仿宋_GB2312"/>
          <w:spacing w:val="0"/>
          <w:sz w:val="32"/>
          <w:szCs w:val="32"/>
          <w:lang w:val="en-US" w:eastAsia="zh-CN"/>
        </w:rPr>
        <w:t>10</w:t>
      </w:r>
      <w:r>
        <w:rPr>
          <w:rFonts w:hint="eastAsia" w:ascii="仿宋_GB2312" w:hAnsi="仿宋_GB2312" w:eastAsia="仿宋_GB2312" w:cs="仿宋_GB2312"/>
          <w:spacing w:val="0"/>
          <w:sz w:val="32"/>
          <w:szCs w:val="32"/>
        </w:rPr>
        <w:t>日起施行</w:t>
      </w:r>
      <w:r>
        <w:rPr>
          <w:rFonts w:hint="eastAsia" w:ascii="宋体" w:hAnsi="宋体" w:eastAsia="宋体" w:cs="宋体"/>
          <w:spacing w:val="0"/>
          <w:sz w:val="32"/>
          <w:szCs w:val="32"/>
        </w:rPr>
        <w:t>。</w:t>
      </w:r>
      <w:r>
        <w:rPr>
          <w:rStyle w:val="9"/>
          <w:rFonts w:hint="eastAsia" w:ascii="宋体" w:hAnsi="宋体" w:eastAsia="宋体" w:cs="宋体"/>
          <w:spacing w:val="0"/>
          <w:sz w:val="32"/>
          <w:szCs w:val="32"/>
        </w:rPr>
        <w:footnoteReference w:id="1"/>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start="3"/>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280" w:rightChars="0" w:firstLine="0" w:firstLineChars="0"/>
      <w:jc w:val="left"/>
      <w:textAlignment w:val="auto"/>
      <w:outlineLvl w:val="9"/>
      <w:rPr>
        <w:rStyle w:val="8"/>
        <w:rFonts w:hint="eastAsia" w:ascii="宋体" w:hAnsi="宋体" w:eastAsia="宋体" w:cs="宋体"/>
        <w:sz w:val="28"/>
        <w:szCs w:val="2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- 3 -</w:t>
    </w:r>
    <w:r>
      <w:rPr>
        <w:rFonts w:hint="eastAsia" w:ascii="宋体" w:hAnsi="宋体" w:eastAsia="宋体" w:cs="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fldChar w:fldCharType="begin"/>
    </w:r>
    <w:r>
      <w:rPr>
        <w:rStyle w:val="8"/>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PDF文本题注有误，更正为“2016年1月22日荆州市第四届人民代表大会第六次会议通过  2016年3月30日湖北省第十二届人民代表大会常务委员会第二十一次会议批准”。</w:t>
      </w:r>
    </w:p>
  </w:footnote>
  <w:footnote w:id="1">
    <w:p>
      <w:pPr>
        <w:pStyle w:val="5"/>
        <w:snapToGrid w:val="0"/>
      </w:pPr>
      <w:r>
        <w:rPr>
          <w:rStyle w:val="9"/>
        </w:rPr>
        <w:footnoteRef/>
      </w:r>
      <w:r>
        <w:t xml:space="preserve"> </w:t>
      </w:r>
      <w:r>
        <w:rPr>
          <w:rFonts w:hint="eastAsia"/>
          <w:lang w:val="en-US" w:eastAsia="zh-CN"/>
        </w:rPr>
        <w:t>PDF文本第五十七条有误，更正为：“本条例自2016年4月10日起施行”。</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01"/>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24"/>
    <w:rsid w:val="00092238"/>
    <w:rsid w:val="00126012"/>
    <w:rsid w:val="00246F07"/>
    <w:rsid w:val="0025177B"/>
    <w:rsid w:val="0039683A"/>
    <w:rsid w:val="006D6934"/>
    <w:rsid w:val="00820858"/>
    <w:rsid w:val="00866F24"/>
    <w:rsid w:val="008A5431"/>
    <w:rsid w:val="008A64BE"/>
    <w:rsid w:val="008B6CDF"/>
    <w:rsid w:val="008C51F7"/>
    <w:rsid w:val="008E46E6"/>
    <w:rsid w:val="00903F0B"/>
    <w:rsid w:val="009460FE"/>
    <w:rsid w:val="009F0431"/>
    <w:rsid w:val="00A153BB"/>
    <w:rsid w:val="00A63D00"/>
    <w:rsid w:val="00A66D33"/>
    <w:rsid w:val="00AA4D03"/>
    <w:rsid w:val="00AC633E"/>
    <w:rsid w:val="00AF77AE"/>
    <w:rsid w:val="00C303D3"/>
    <w:rsid w:val="00C579E9"/>
    <w:rsid w:val="00CF57D6"/>
    <w:rsid w:val="00ED16FA"/>
    <w:rsid w:val="00F56C26"/>
    <w:rsid w:val="00FC3D88"/>
    <w:rsid w:val="00FE2FE8"/>
    <w:rsid w:val="063E0564"/>
    <w:rsid w:val="0684388B"/>
    <w:rsid w:val="0A115ABF"/>
    <w:rsid w:val="0B896437"/>
    <w:rsid w:val="0DA93951"/>
    <w:rsid w:val="0E027F26"/>
    <w:rsid w:val="0EC37ABF"/>
    <w:rsid w:val="12DF12CC"/>
    <w:rsid w:val="12EC28D4"/>
    <w:rsid w:val="13881436"/>
    <w:rsid w:val="141F7074"/>
    <w:rsid w:val="152473AE"/>
    <w:rsid w:val="15BC1C16"/>
    <w:rsid w:val="15CB4F4D"/>
    <w:rsid w:val="182913EB"/>
    <w:rsid w:val="18B1022F"/>
    <w:rsid w:val="18E47AC6"/>
    <w:rsid w:val="1927062F"/>
    <w:rsid w:val="1B185EFB"/>
    <w:rsid w:val="1D2A5B62"/>
    <w:rsid w:val="22492876"/>
    <w:rsid w:val="25785E02"/>
    <w:rsid w:val="27E812F6"/>
    <w:rsid w:val="28F35996"/>
    <w:rsid w:val="291766A1"/>
    <w:rsid w:val="2B567D19"/>
    <w:rsid w:val="2B9D2CA1"/>
    <w:rsid w:val="2C7517F6"/>
    <w:rsid w:val="2CF024BE"/>
    <w:rsid w:val="302B4CB2"/>
    <w:rsid w:val="342B447C"/>
    <w:rsid w:val="38B348A8"/>
    <w:rsid w:val="392062C2"/>
    <w:rsid w:val="425F7223"/>
    <w:rsid w:val="43F22D6F"/>
    <w:rsid w:val="471E79CF"/>
    <w:rsid w:val="48BA0403"/>
    <w:rsid w:val="497C2319"/>
    <w:rsid w:val="49AE69F2"/>
    <w:rsid w:val="4A8F34BA"/>
    <w:rsid w:val="4C394B8B"/>
    <w:rsid w:val="4C7A07F8"/>
    <w:rsid w:val="4E082274"/>
    <w:rsid w:val="4F035479"/>
    <w:rsid w:val="4F670985"/>
    <w:rsid w:val="525801AB"/>
    <w:rsid w:val="54FB330E"/>
    <w:rsid w:val="579F2048"/>
    <w:rsid w:val="587B77A7"/>
    <w:rsid w:val="5A0E4861"/>
    <w:rsid w:val="5DBF6A37"/>
    <w:rsid w:val="60104001"/>
    <w:rsid w:val="60963A9B"/>
    <w:rsid w:val="61170437"/>
    <w:rsid w:val="617871D7"/>
    <w:rsid w:val="6A6D3CC5"/>
    <w:rsid w:val="6B88282D"/>
    <w:rsid w:val="6DA40BFC"/>
    <w:rsid w:val="70514703"/>
    <w:rsid w:val="71985698"/>
    <w:rsid w:val="71F0017E"/>
    <w:rsid w:val="763120A4"/>
    <w:rsid w:val="767859BA"/>
    <w:rsid w:val="77F32475"/>
    <w:rsid w:val="79401AAB"/>
    <w:rsid w:val="7B6733FA"/>
    <w:rsid w:val="7CFC3775"/>
    <w:rsid w:val="7D0F05F6"/>
    <w:rsid w:val="7F4A6F58"/>
    <w:rsid w:val="7F966F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rFonts w:hint="eastAsia" w:ascii="宋体" w:hAnsi="宋体" w:eastAsia="宋体" w:cs="宋体"/>
      <w:kern w:val="0"/>
      <w:sz w:val="24"/>
      <w:lang w:val="en-US" w:eastAsia="zh-CN" w:bidi="ar"/>
    </w:rPr>
  </w:style>
  <w:style w:type="character" w:styleId="8">
    <w:name w:val="page number"/>
    <w:basedOn w:val="7"/>
    <w:uiPriority w:val="0"/>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1401</Words>
  <Characters>7988</Characters>
  <Lines>66</Lines>
  <Paragraphs>18</Paragraphs>
  <ScaleCrop>false</ScaleCrop>
  <LinksUpToDate>false</LinksUpToDate>
  <CharactersWithSpaces>9371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2016-10-25T07:11:00Z</dcterms:created>
  <dc:creator>rd</dc:creator>
  <cp:lastModifiedBy>admin</cp:lastModifiedBy>
  <cp:lastPrinted>2016-04-07T06:34:00Z</cp:lastPrinted>
  <dcterms:modified xsi:type="dcterms:W3CDTF">2019-07-14T02:43:34Z</dcterms:modified>
  <dc:title>附件1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