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荆门市生态环境保护条例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（2017年6月28日荆门市第九届人民代表大会常务委员会第五次会议通过　2017年7月27日湖北省第十二届人民代表大会常务委员会第二十九次会议批准　根据2023年8月24日荆门市第十届人民代表大会常务委员会第十三次会议通过　2023年9月27日湖北省第十四届人民代表大会常务委员会第五次会议批准的《荆门市人民代表大会常务委员会关于集中修改部分地方性法规的决定》修正）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生态环境规划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生态经济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生态文化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生态损害和环境污染防治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促进和保障措施</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为了保护和改善生态环境，推进生态文明建设，促进经济社会可持续发展，根据《中华人民共和国环境保护法》及有关法律、法规，结合本市实际，制定本条例。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本市行政区域内的生态环境规划、建设，生态损害和环境污染防治等促进生态环境保护的活动，适用本条例。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生态立市是本市发展的基本战略。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各级人民政府应当将生态环境保护放在优先地位，实行创新、协调、绿色、开放、共享发展，改善总体生态环境质量，促进经济社会发展与生态环境保护相互协调。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生态环境保护应当坚持统筹规划、保护优先、防治结合、损害担责的原则。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生态环境规划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县级以上人民政府应当将生态环境保护工作纳入国民经济和社会发展规划。生态环境主管部门会同有关主管部门编制本行政区域的生态环境保护规划，报本级人民政府批准并公布实施。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生态环境保护规划应当与国土空间总体规划相衔接。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县级以上人民政府应当编制生态功能区规划，向社会公布。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县级以上人民政府应当建立重点生态功能区产业准入负面清单管理制度，对重点生态功能区实行永久保护。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县级以上人民政府应当根据主体功能定位和有关规划要求，细化本行政区域的国土空间功能分区，科学划分城镇建设区、工矿开发区、基本农田、旅游休闲区等，并明确地域范围。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禁止在生态保护红线区从事不符合法律、法规和国家有关规定的活动。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县级以上人民政府应当科学界定城市规模和城镇开发边界，明确禁建区、限建区和适建区范围，推进新型城镇化建设。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住房和城乡建设主管部门应当推动城市生态修复、城市修补工作，加强海绵城市建设，促进城市转型发展。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生态环境保护规划、生态功能区规划等规划的编制依据发生重大调整的，原编制机关可以依据法定程序进行修改，但不得缩小原规划的保护范围、降低原规划的保护目标、弱化原规划的生态功能。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生态经济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县级以上人民政府应当加强对生态经济的建设和管理，发展绿色低碳循环经济。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发展改革主管部门负责组织、协调、管理本行政区域内的生态经济发展，其他相关主管部门应当按照各自的职责范围，做好监督管理工作，促进生态经济发展。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县级以上人民政府应当根据生态环境承载力推动产业转型升级，加快传统产业改造，培育和发展生态产业，推进新型工业化、城镇化、信息化、农业现代化和绿色化深度融合。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县级以上人民政府应当发展绿色工业，提高企业自主创新能力，培育和发展新型产业、高新技术产业，构建绿色工业体系。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应当发展高效生态农业，推广新型种养模式和技术，建设新品种试验、农作物集成技术示范、标准化生产示范等功能区，发展智慧农业、观光农业、休闲农业和创意农业，构建现代农业生产经营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县级以上人民政府应当建立农产品质量安全追溯体系，鼓励发展无公害食品、绿色食品、有机食品产业。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县级以上人民政府应当根据地理优势、自然资源禀赋、文化特色和产业布局等，发展健康产业、文化旅游业、金融保险业、现代物流业、现代商贸业、研发设计服务业和信息服务业，构建生态服务业体系。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县级以上人民政府应当加快构建清洁低碳、安全高效的现代能源产业体系，发展节能产业、推广节能产品，发展垃圾污水处理、大气污染治理、土壤修复等环保产业。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县级以上人民政府应当推进国家循环经济示范城市建设，实施循环发展引领计划，推行产业循环式组合、园区循环式改造和企业循环式生产，推进再生资源利用，促进生产、流通、消费各环节的循环发展。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各级人民政府应当推进生产节水、生活节水，鼓励和引导中水回用、雨水利用，实行用水需求管理。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县级以上人民政府应当建立碳排放总量和强度双控制制度，全面推动工业、农业、建筑等领域，以及国家机关、医院、学校等公共机构节能减排。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经济和信息化主管部门应当鼓励、引导、监督市场主体节约能源。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各级人民政府应当鼓励企业使用新技术、新工艺、新材料、新装备，促进清洁生产。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生态文化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各级人民政府应当加强生态环境保护宣传和普及工作，引导国家机关工作人员强化绿色政绩观、市场主体强化绿色效益观、社会公众强化绿色价值观。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鼓励村民委员会、居民委员会、社会公益组织和生态环境保护志愿者开展生态环境保护知识宣传，营造保护生态环境的良好氛围。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教育行政主管部门、学校应当将生态环境保护知识纳入校本课程教学内容，培养学生养成保护生态环境的良好习惯。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各级人民政府应当加强生态文明建设示范区创建。鼓励企业、学校、医院、宾馆、家庭等开展各类绿色、生态、低碳主体创建活动。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各级人民政府应当推行绿色政务，完善电子政务系统，推广网络化、无纸化办公，逐年降低人均办公综合能耗。建立政府绿色采购制度，将节能环保产品和再生利用产品纳入政府优先采购范围。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县级以上人民政府应当发展绿色公共交通，优化慢行系统，建立快速公交、公共自行车租赁系统，鼓励和规范互联网租赁自行车服务，普及清洁能源、新能源公交，实现绿色公共交通体系全覆盖。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各级人民政府应当推进绿色医疗，坚持预防为主，注重防治结合，规范医疗行为，避免过度医疗，提供安全、合理、有效、人性化的医疗服务。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积极推广绿色建筑和装配式建筑。政府投资项目和非政府投资大型公共建筑应当符合绿色建筑标准，城市规划区新建建筑物、构筑物应当符合节能标准。城市规划区符合条件的新建房屋和市政基础设施工程应当按照装配式建筑标准进行建设，新建住宅逐步实现全装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各级人民政府应当完善农村基础配套设施，建设美丽宜居乡村，提升农村人居环境质量。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各级人民政府应当倡导文明、绿色的生活方式，引导消费者购买和使用绿色产品，减少一次性产品使用，推广简约适度、绿色低碳、文明健康的消费模式。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加快充电设施建设，推广新能源交通工具，提倡绿色出行。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生态损害和环境污染防治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资源开发利用和城镇化建设应当科学合理，采取措施保护野生动植物资源，防范外来物种入侵对生态环境的危害，防止对生物多样性的破坏，保障生态安全。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禁止在河道、湖泊、水库从事下列行为：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（一）违法筑坝拦汊、填土造地、建设建筑物或者构筑物；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（二）网箱、围网、拦网养殖水产，规模养殖畜禽；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（三）投放致使水体富营养化的物料进行养殖；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（四）其他侵占、分割水面或者污染水体的行为。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各级人民政府应当加强饮用水水源保护，保障饮用水安全。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县级以上人民政府应当合理布局饮用水水源取水口，公开饮用水水源地目录信息，在饮用水水源地保护区的边界设立符合国家标准的地理界标和警示标志。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各级人民政府应当建立河湖长制，明确河道、湖泊、水库管理的责任人。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市人民政府应当建立河湖长制工作制度和考核办法。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市人民政府应当实行跨县级行政区域的河道、湖泊、水库污染协同治理，对跨县级行政区域水体断面水质进行监测、考核。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市人民政府根据需要可以设立跨界断面水质生态补偿金。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各级人民政府应当开展农村生态环境综合整治，推进污水处理、土壤修复、厕所改造、生活垃圾回收处理、废弃物资源化利用、化肥农药减量、水生态环境治理等工作。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推广无动力、微动力和生态化的污水处理技术，并保证设施高效运行。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县级人民政府应当划定畜禽养殖禁养区、限养区和适养区。畜禽规模养殖应当依法进行环境影响评价，推进畜禽粪便、尸体和废水等废弃物综合利用与无害化处理。禁止超标准排放污染物。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生态环境主管部门应当加强环境监管执法，督促企业依据相关规范完善和运营环保设施，实现污染物稳定达标排放。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生态环境主管部门应当加强监督管理，督促化工、火电、建材等行业进行大气污染治理。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经济和信息化主管部门应当督促集中供热管网已覆盖地区拆除分散燃煤供热锅炉。集中供热管网未覆盖地区的分散供热锅炉应当使用清洁能源。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生态环境主管部门、公安机关应当加强机动车排气污染治理的监督管理。机动车应当按照规定进行排放检验、按照标准强制报废，减少污染排放。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禁止违法焚烧农作物秸秆、沥青、油毡、橡胶、塑料、皮革、垃圾以及其他产生有毒有害烟尘和恶臭气体的物质。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县级以上人民政府应当加强扬尘治理，有关主管部门按照下列规定履行职责：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（一）交通运输、市政主管部门应当加强道路维护保养。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（二）交通运输、城市管理主管部门应当督促运输车辆采取密闭或者其他措施防止物料遗撒；公安机关应当督促运输车辆按照规定路线和时间行驶。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管理主管部门应当加强城市道路的清扫保洁管理，指导督促广场、停车场和其他公共场所做好清扫保洁，推行清洁动力机械化清扫等低尘作业方式；交通运输主管部门应当加强交通干道的清扫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（四）住房和城乡建设主管部门应当加强对建设工地扬尘治理的监督管理。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然资源主管部门应当加强对矿山地质环境保护的监督管理。因开采矿产资源造成矿区地面塌陷、地裂缝、崩塌、滑坡，含水层破坏，地形地貌景观破坏等矿山地质环境破坏的，由采矿权人负责治理恢复。矿山地质环境治理恢复责任人灭失的，由矿山所在地的自然资源主管部门使用县级以上人民政府批准设立的政府专项资金进行治理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生态环境主管部门应当加强矿山爆破、破碎、运输等过程中扬尘污染和尾矿污染防治的监督管理。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各级人民政府应当加强水土保持林、水源涵养林建设，加大水土流失综合治理和生态修复力度，推进坡耕地、生态清洁型小流域治理，强化开发建设项目水土保持管理，防止人为新增水土流失。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各级人民政府应当采取工程技术、恢复植被、控制污染等措施，加强湿地保护，提高湿地功能。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县级以上人民政府应当加强森林资源保护，加快防护林体系建设，推进植树造林、封山育林和森林抚育，严格管理森林采伐和林地征用占用，扩大森林面积、提升森林质量，科学发展森林生态产业。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县级以上人民政府应当建立对节白蜡、刺楸、垂枝侧柏、栾树等珍稀和乡土树种保护与繁育制度，促进珍稀和乡土树种资源可持续发展。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未经批准不得在城市规划区开挖山体、占用林地。经批准开挖山体的，应当符合规范，并采取立体绿化等措施恢复植被，防止山体裸露。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各级人民政府应当保护景区、景点的自然生态，保护地质遗址、工业遗址、历史文化遗存和风景名胜资源，依据生态环境承载力开发旅游资源和人文景点。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景区、景点的观光车、娱乐设备等应当使用清洁能源。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各级人民政府应当建立垃圾分类收集处理制度，逐步完善分类投放、分类收集、分类运输、分类处理的垃圾处理系统，提高垃圾减量化、资源化、无害化水平。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促进和保障措施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县级以上人民政府应当加大投入，通过预算安排、减免本级执收的行政收费等方式，推动生态环境综合整治。支持单位和个人开展生态环境治理的科技研发和新技术、新成果的推广应用，促进生态环境保护。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市人民政府应当建立重点生态功能区补偿制度，对禁止和限制开发的重点生态功能区给予补偿。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鼓励金融机构在信贷融资等方面支持生态环境保护。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金融机构应当开展绿色金融业务，在信贷、证券等金融业务中优先审查生态环境信用状况。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县级以上人民政府应当创新投融资模式，鼓励社会资本参与生态环境治理，支持其依法取得投资回报。鼓励和支持依法利用社会捐助资金、国际组织和国外政府援助项目或者资金开展生态环境治理。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发展生态环保市场，推行碳排放权和排污权交易制度。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鼓励和引导重点监控企业、总量减排企业、重点排污单位，采取第三方治理的形式，加强污染治理或者污染防治设施的运营管理。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造成生态损害或者环境污染的，由生态环境主管部门责令限期采取治理措施，不按要求采取治理措施或者不具备治理能力的，生态环境主管部门可以通过招标等公开方式确定有治理和恢复能力的第三方代为治理，所需费用由造成生态损害或者环境污染的单位和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县级以上人民政府应当督促电器电子、汽车、铅酸蓄电池和饮料纸基复合包装等生产企业落实生产者责任延伸制度，提高产品的综合竞争力和资源环境效益。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电器电子、汽车、铅酸蓄电池和饮料纸基复合包装等生产企业应当开展产品生态设计，使用再生原料，保障废弃产品规范回收利用和安全处置，加强信息公开。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建立环境污染责任保险制度。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从事环境高风险生产经营活动的单位，应当依法投保环境污染责任保险。鼓励其他单位投保环境污染责任保险。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生态环境主管部门应当会同自然资源、水行政、农业农村等主管部门组织监测网络，加强对环境监测的管理，建立监测数据共享制度，形成统一的环境监测体系。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生态环境主管部门应当会同自然资源、水行政、农业农村等主管部门建立环境质量信息公示制度，定期向社会公布环境空气质量、重点地表水环境质量、重点区域土壤及地下水环境质量等监测信息。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社会环境监测机构应当依据监测规范提供监测服务。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市生态环境主管部门应当每年定期确定本行政区域内的重点排污单位名录，并向社会公布。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重点排污单位应当在生态环境主管部门公布重点排污单位名录之日起九十日内，通过报刊、互联网、广播、电视等便于公众知晓的方式公开环境信息。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建立生态环境违法行为信息公示制度。企业、个体工商户、专业合作社等市场主体应当主动在国家企业信用信息公示系统公示其生态环境行政处罚信息。生态环境、水行政、农业农村等主管部门应当依法通过国家企业信用信息公示系统及时公示其产生的生态环境行政处罚信息。市场监督管理主管部门应当加强对市场主体公示生态环境行政处罚信息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各级人民政府应当鼓励公众参与生态环境保护。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鼓励和支持公民、法人和其他组织依法成立环境保护公益组织，开展公益诉讼和其他公益性生态环境保护活动。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公益诉讼被告赔偿的生态环境修复费用、生态环境受到损害至恢复原状期间服务功能损失等款项，由市人民政府作为生态环境修复专项资金管理使用。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任何单位和个人认为乡、民族乡、镇人民政府，县级人民政府及其工作部门的具体行政行为与生态环境保护规划、生态功能区规划不相符的，可以书面向上一级生态环境主管部门提出审查建议。上一级生态环境主管部门应当在收到建议之日起七日内受理，按职责由本级人民政府相关主管部门进行审查，相关主管部门应当在收到建议之日起六十日内作出审查意见，函告生态环境主管部门，并回复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具体行政行为不符合相关规划的，作出审查意见的主管部门应当提请本级人民政府责令有关单位纠正。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县级以上人民政府应当定期向本级人民代表大会常务委员会报告生态环境保护规划、生态功能区规划等规划实施情况。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县级以上人民政府应当加强对生态环境保护专项资金、重点生态功能区补偿资金和生态环境修复专项资金使用的审计，每年将资金的安排和使用情况向本级人民代表大会常务委员会报告，并向社会公布。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县级以上人民政府应当编制自然资源资产负债表，实行自然资源资产审计。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县级以上人民政府应当将生态环境保护目标考核纳入政府工作考核体系，并将考核结果向社会公布。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县级以上人民政府应当建立生态环境损害责任追究制度。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县级以上人民政府应当建立生态环境保护奖励制度，对下列情形给予奖励：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（一）被授予国家生态文明建设示范区的地方；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（二）为生态环境保护作出重大贡献的单位和个人；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（三）举报生态环境违法行为属实的单位和个人。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市人民政府应当设立环境保护政府奖，定期评选表彰对全市生态环境保护有突出贡献的单位和个人。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国家机关及其工作人员在生态环境保护工作中，有下列情形之一的，由主管机关或者监察机关对直接负责的主管人员和其他直接责任人员给予处分；构成犯罪的，依法追究刑事责任：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（一）未完成生态环境保护目标的；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（二）违法决策造成生态损害或者环境污染的；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（三）未依法及时受理建议、检举、投诉和控告或者不及时进行处理的；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（四）应当依法公开生态环境保护信息未公开或者弄虚作假的；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（五）其他玩忽职守、滥用职权、徇私舞弊或者未依法履行监督管理职责的。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第八条规定，在生态保护红线内从事不符合法律、法规和国家有关规定的活动的，由生态环境、自然资源、住房和城乡建设、水行政、农业农村、城市管理、林业等主管部门按照各自职责依法处理；法律、法规未作规定的，由生态环境主管部门责令停止违法行为，限期恢复原状，并处五万元以上五十万元以下的罚款；拒不恢复原状的，生态环境主管部门可以申请人民法院强制执行；造成生态环境损害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违反本条例第四十四条第三款规定，未经批准在城市规划区开挖山体或者开挖山体不符合规范的，由自然资源、城市管理、林业等主管部门按照各自职责责令停止违法行为，并依照有关法律、法规予以处罚。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违反本条例第四十五条第二款规定，景区、景点的观光车、娱乐设备等未使用清洁能源的，由文化和旅游主管部门责令限期改正，并可以处三千元以上三万元以下罚款；拒不改正的，责令停业整顿。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违反本条例，法律、法规对法律责任另有规定的，从其规定。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市人民政府派出的区域性管理委员会按照本条例有关县级人民政府的规定执行。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Times New Roman" w:hAnsi="Times New Roman" w:eastAsia="仿宋_GB2312"/>
          <w:sz w:val="32"/>
        </w:rPr>
        <w:t>　本条例自2018年3月1日起施行。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CA243B"/>
    <w:rsid w:val="0D9804AC"/>
    <w:rsid w:val="11E4354D"/>
    <w:rsid w:val="16DC7373"/>
    <w:rsid w:val="308B0226"/>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2024-01-20T13:08:19Z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