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方正小标宋简体" w:hAnsi="黑体" w:eastAsia="方正小标宋简体" w:cs="黑体"/>
          <w:color w:val="1F1F1F"/>
          <w:kern w:val="0"/>
          <w:sz w:val="44"/>
          <w:szCs w:val="44"/>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bCs/>
          <w:color w:val="1F1F1F"/>
          <w:kern w:val="0"/>
          <w:sz w:val="44"/>
          <w:szCs w:val="44"/>
        </w:rPr>
      </w:pPr>
      <w:r>
        <w:rPr>
          <w:rFonts w:hint="eastAsia" w:ascii="宋体" w:hAnsi="宋体" w:eastAsia="宋体" w:cs="宋体"/>
          <w:b/>
          <w:bCs/>
          <w:color w:val="1F1F1F"/>
          <w:kern w:val="0"/>
          <w:sz w:val="44"/>
          <w:szCs w:val="44"/>
        </w:rPr>
        <w:t>莆田市</w:t>
      </w:r>
      <w:r>
        <w:rPr>
          <w:rFonts w:hint="eastAsia" w:ascii="宋体" w:hAnsi="宋体" w:eastAsia="宋体" w:cs="宋体"/>
          <w:b/>
          <w:bCs/>
          <w:color w:val="1F1F1F"/>
          <w:kern w:val="0"/>
          <w:sz w:val="44"/>
          <w:szCs w:val="44"/>
          <w:lang w:eastAsia="zh-CN"/>
        </w:rPr>
        <w:t>城市园林绿化管理</w:t>
      </w:r>
      <w:r>
        <w:rPr>
          <w:rFonts w:hint="eastAsia" w:ascii="宋体" w:hAnsi="宋体" w:eastAsia="宋体" w:cs="宋体"/>
          <w:b/>
          <w:bCs/>
          <w:color w:val="1F1F1F"/>
          <w:kern w:val="0"/>
          <w:sz w:val="44"/>
          <w:szCs w:val="44"/>
        </w:rPr>
        <w:t>条例</w:t>
      </w:r>
    </w:p>
    <w:p>
      <w:pPr>
        <w:keepNext w:val="0"/>
        <w:keepLines w:val="0"/>
        <w:pageBreakBefore w:val="0"/>
        <w:widowControl w:val="0"/>
        <w:kinsoku/>
        <w:wordWrap/>
        <w:overflowPunct/>
        <w:topLinePunct w:val="0"/>
        <w:autoSpaceDE/>
        <w:autoSpaceDN/>
        <w:bidi w:val="0"/>
        <w:adjustRightInd/>
        <w:snapToGrid/>
        <w:spacing w:before="220" w:beforeLines="50" w:line="560" w:lineRule="exact"/>
        <w:ind w:left="640" w:leftChars="200" w:right="640" w:rightChars="200"/>
        <w:jc w:val="both"/>
        <w:textAlignment w:val="auto"/>
        <w:rPr>
          <w:rFonts w:hint="eastAsia" w:ascii="楷体_GB2312" w:hAnsi="楷体_GB2312" w:eastAsia="楷体_GB2312" w:cs="楷体_GB2312"/>
          <w:color w:val="1F1F1F"/>
          <w:kern w:val="0"/>
          <w:szCs w:val="32"/>
        </w:rPr>
      </w:pPr>
      <w:r>
        <w:rPr>
          <w:rFonts w:hint="eastAsia" w:ascii="楷体_GB2312" w:hAnsi="楷体_GB2312" w:eastAsia="楷体_GB2312" w:cs="楷体_GB2312"/>
          <w:color w:val="1F1F1F"/>
          <w:kern w:val="0"/>
          <w:szCs w:val="32"/>
        </w:rPr>
        <w:t>（20</w:t>
      </w:r>
      <w:r>
        <w:rPr>
          <w:rFonts w:hint="eastAsia" w:ascii="楷体_GB2312" w:hAnsi="楷体_GB2312" w:eastAsia="楷体_GB2312" w:cs="楷体_GB2312"/>
          <w:color w:val="1F1F1F"/>
          <w:kern w:val="0"/>
          <w:szCs w:val="32"/>
          <w:lang w:val="en-US" w:eastAsia="zh-CN"/>
        </w:rPr>
        <w:t>22</w:t>
      </w:r>
      <w:r>
        <w:rPr>
          <w:rFonts w:hint="eastAsia" w:ascii="楷体_GB2312" w:hAnsi="楷体_GB2312" w:eastAsia="楷体_GB2312" w:cs="楷体_GB2312"/>
          <w:color w:val="1F1F1F"/>
          <w:kern w:val="0"/>
          <w:szCs w:val="32"/>
        </w:rPr>
        <w:t>年</w:t>
      </w:r>
      <w:r>
        <w:rPr>
          <w:rFonts w:hint="eastAsia" w:ascii="楷体_GB2312" w:hAnsi="楷体_GB2312" w:eastAsia="楷体_GB2312" w:cs="楷体_GB2312"/>
          <w:color w:val="1F1F1F"/>
          <w:kern w:val="0"/>
          <w:szCs w:val="32"/>
          <w:lang w:val="en-US" w:eastAsia="zh-CN"/>
        </w:rPr>
        <w:t>8</w:t>
      </w:r>
      <w:r>
        <w:rPr>
          <w:rFonts w:hint="eastAsia" w:ascii="楷体_GB2312" w:hAnsi="楷体_GB2312" w:eastAsia="楷体_GB2312" w:cs="楷体_GB2312"/>
          <w:color w:val="1F1F1F"/>
          <w:kern w:val="0"/>
          <w:szCs w:val="32"/>
        </w:rPr>
        <w:t>月</w:t>
      </w:r>
      <w:r>
        <w:rPr>
          <w:rFonts w:hint="eastAsia" w:ascii="楷体_GB2312" w:hAnsi="楷体_GB2312" w:eastAsia="楷体_GB2312" w:cs="楷体_GB2312"/>
          <w:color w:val="1F1F1F"/>
          <w:kern w:val="0"/>
          <w:szCs w:val="32"/>
          <w:lang w:val="en-US" w:eastAsia="zh-CN"/>
        </w:rPr>
        <w:t>26</w:t>
      </w:r>
      <w:r>
        <w:rPr>
          <w:rFonts w:hint="eastAsia" w:ascii="楷体_GB2312" w:hAnsi="楷体_GB2312" w:eastAsia="楷体_GB2312" w:cs="楷体_GB2312"/>
          <w:color w:val="1F1F1F"/>
          <w:kern w:val="0"/>
          <w:szCs w:val="32"/>
        </w:rPr>
        <w:t>日莆田市第</w:t>
      </w:r>
      <w:r>
        <w:rPr>
          <w:rFonts w:hint="eastAsia" w:ascii="楷体_GB2312" w:hAnsi="楷体_GB2312" w:eastAsia="楷体_GB2312" w:cs="楷体_GB2312"/>
          <w:color w:val="1F1F1F"/>
          <w:kern w:val="0"/>
          <w:szCs w:val="32"/>
          <w:lang w:eastAsia="zh-CN"/>
        </w:rPr>
        <w:t>八</w:t>
      </w:r>
      <w:r>
        <w:rPr>
          <w:rFonts w:hint="eastAsia" w:ascii="楷体_GB2312" w:hAnsi="楷体_GB2312" w:eastAsia="楷体_GB2312" w:cs="楷体_GB2312"/>
          <w:color w:val="1F1F1F"/>
          <w:kern w:val="0"/>
          <w:szCs w:val="32"/>
        </w:rPr>
        <w:t>届人民代表大会常务委</w:t>
      </w: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both"/>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color w:val="1F1F1F"/>
          <w:kern w:val="0"/>
          <w:szCs w:val="32"/>
        </w:rPr>
        <w:t>员会第</w:t>
      </w:r>
      <w:r>
        <w:rPr>
          <w:rFonts w:hint="eastAsia" w:ascii="楷体_GB2312" w:hAnsi="楷体_GB2312" w:eastAsia="楷体_GB2312" w:cs="楷体_GB2312"/>
          <w:color w:val="1F1F1F"/>
          <w:kern w:val="0"/>
          <w:szCs w:val="32"/>
          <w:lang w:eastAsia="zh-CN"/>
        </w:rPr>
        <w:t>四</w:t>
      </w:r>
      <w:r>
        <w:rPr>
          <w:rFonts w:hint="eastAsia" w:ascii="楷体_GB2312" w:hAnsi="楷体_GB2312" w:eastAsia="楷体_GB2312" w:cs="楷体_GB2312"/>
          <w:color w:val="1F1F1F"/>
          <w:kern w:val="0"/>
          <w:szCs w:val="32"/>
        </w:rPr>
        <w:t>次会议通过</w:t>
      </w:r>
      <w:r>
        <w:rPr>
          <w:rFonts w:hint="eastAsia" w:ascii="楷体_GB2312" w:hAnsi="楷体_GB2312" w:eastAsia="楷体_GB2312" w:cs="楷体_GB2312"/>
          <w:color w:val="1F1F1F"/>
          <w:kern w:val="0"/>
          <w:szCs w:val="32"/>
          <w:lang w:val="en-US" w:eastAsia="zh-CN"/>
        </w:rPr>
        <w:t xml:space="preserve">  </w:t>
      </w:r>
      <w:r>
        <w:rPr>
          <w:rFonts w:hint="eastAsia" w:ascii="楷体_GB2312" w:hAnsi="楷体_GB2312" w:eastAsia="楷体_GB2312" w:cs="楷体_GB2312"/>
          <w:bCs/>
          <w:sz w:val="32"/>
          <w:szCs w:val="32"/>
          <w:lang w:val="en-US" w:eastAsia="zh-CN"/>
        </w:rPr>
        <w:t>2022年11月24日福建省第十三届人民代表大会常务委员会第三十六次会议批准</w:t>
      </w:r>
      <w:r>
        <w:rPr>
          <w:rFonts w:hint="eastAsia" w:ascii="楷体_GB2312" w:hAnsi="楷体_GB2312" w:eastAsia="楷体_GB2312" w:cs="楷体_GB2312"/>
          <w:bCs/>
          <w:sz w:val="32"/>
          <w:szCs w:val="32"/>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20" w:lineRule="exact"/>
        <w:ind w:firstLine="0" w:firstLineChars="0"/>
        <w:jc w:val="center"/>
        <w:textAlignment w:val="auto"/>
        <w:rPr>
          <w:rFonts w:hint="eastAsia" w:ascii="楷体_GB2312" w:hAnsi="楷体_GB2312" w:eastAsia="楷体_GB2312" w:cs="楷体_GB2312"/>
          <w:b w:val="0"/>
          <w:bCs/>
          <w:color w:val="000000"/>
          <w:spacing w:val="0"/>
          <w:sz w:val="32"/>
          <w:szCs w:val="32"/>
          <w:lang w:eastAsia="zh-CN"/>
        </w:rPr>
      </w:pPr>
      <w:r>
        <w:rPr>
          <w:rFonts w:hint="eastAsia" w:ascii="楷体_GB2312" w:hAnsi="楷体_GB2312" w:eastAsia="楷体_GB2312" w:cs="楷体_GB2312"/>
          <w:b w:val="0"/>
          <w:bCs/>
          <w:color w:val="000000"/>
          <w:spacing w:val="0"/>
          <w:sz w:val="32"/>
          <w:szCs w:val="32"/>
          <w:lang w:eastAsia="zh-CN"/>
        </w:rPr>
        <w:t>目</w:t>
      </w:r>
      <w:r>
        <w:rPr>
          <w:rFonts w:hint="eastAsia" w:ascii="楷体_GB2312" w:hAnsi="楷体_GB2312" w:eastAsia="楷体_GB2312" w:cs="楷体_GB2312"/>
          <w:b w:val="0"/>
          <w:bCs/>
          <w:color w:val="000000"/>
          <w:spacing w:val="0"/>
          <w:sz w:val="32"/>
          <w:szCs w:val="32"/>
          <w:lang w:val="en-US" w:eastAsia="zh-CN"/>
        </w:rPr>
        <w:t xml:space="preserve">    </w:t>
      </w:r>
      <w:r>
        <w:rPr>
          <w:rFonts w:hint="eastAsia" w:ascii="楷体_GB2312" w:hAnsi="楷体_GB2312" w:eastAsia="楷体_GB2312" w:cs="楷体_GB2312"/>
          <w:b w:val="0"/>
          <w:bCs/>
          <w:color w:val="000000"/>
          <w:spacing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both"/>
        <w:textAlignment w:val="auto"/>
        <w:rPr>
          <w:rFonts w:hint="eastAsia" w:ascii="宋体" w:hAnsi="宋体" w:eastAsia="宋体" w:cs="宋体"/>
          <w:b w:val="0"/>
          <w:bCs/>
          <w:color w:val="000000"/>
          <w:spacing w:val="0"/>
          <w:sz w:val="32"/>
          <w:szCs w:val="32"/>
          <w:lang w:eastAsia="zh-CN"/>
        </w:rPr>
      </w:pPr>
      <w:r>
        <w:rPr>
          <w:rFonts w:hint="eastAsia" w:ascii="宋体" w:hAnsi="宋体" w:eastAsia="宋体" w:cs="宋体"/>
          <w:b w:val="0"/>
          <w:bCs/>
          <w:color w:val="000000"/>
          <w:spacing w:val="0"/>
          <w:sz w:val="32"/>
          <w:szCs w:val="32"/>
          <w:lang w:eastAsia="zh-CN"/>
        </w:rPr>
        <w:t>第一章</w:t>
      </w:r>
      <w:r>
        <w:rPr>
          <w:rFonts w:hint="eastAsia" w:ascii="宋体" w:hAnsi="宋体" w:eastAsia="宋体" w:cs="宋体"/>
          <w:b w:val="0"/>
          <w:bCs/>
          <w:color w:val="000000"/>
          <w:spacing w:val="0"/>
          <w:sz w:val="32"/>
          <w:szCs w:val="32"/>
          <w:lang w:val="en-US" w:eastAsia="zh-CN"/>
        </w:rPr>
        <w:t xml:space="preserve">  </w:t>
      </w:r>
      <w:r>
        <w:rPr>
          <w:rFonts w:hint="eastAsia" w:ascii="宋体" w:hAnsi="宋体" w:eastAsia="宋体" w:cs="宋体"/>
          <w:b w:val="0"/>
          <w:bCs/>
          <w:color w:val="000000"/>
          <w:spacing w:val="0"/>
          <w:sz w:val="32"/>
          <w:szCs w:val="32"/>
          <w:lang w:eastAsia="zh-CN"/>
        </w:rPr>
        <w:t>总则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both"/>
        <w:textAlignment w:val="auto"/>
        <w:rPr>
          <w:rFonts w:hint="eastAsia" w:ascii="宋体" w:hAnsi="宋体" w:eastAsia="宋体" w:cs="宋体"/>
          <w:b w:val="0"/>
          <w:bCs/>
          <w:color w:val="000000"/>
          <w:spacing w:val="0"/>
          <w:sz w:val="32"/>
          <w:szCs w:val="32"/>
          <w:lang w:val="en-US" w:eastAsia="zh-CN"/>
        </w:rPr>
      </w:pPr>
      <w:r>
        <w:rPr>
          <w:rFonts w:hint="eastAsia" w:ascii="宋体" w:hAnsi="宋体" w:eastAsia="宋体" w:cs="宋体"/>
          <w:b w:val="0"/>
          <w:bCs/>
          <w:color w:val="000000"/>
          <w:spacing w:val="0"/>
          <w:sz w:val="32"/>
          <w:szCs w:val="32"/>
          <w:lang w:eastAsia="zh-CN"/>
        </w:rPr>
        <w:t>第二章</w:t>
      </w:r>
      <w:r>
        <w:rPr>
          <w:rFonts w:hint="eastAsia" w:ascii="宋体" w:hAnsi="宋体" w:eastAsia="宋体" w:cs="宋体"/>
          <w:b w:val="0"/>
          <w:bCs/>
          <w:color w:val="000000"/>
          <w:spacing w:val="0"/>
          <w:sz w:val="32"/>
          <w:szCs w:val="32"/>
          <w:lang w:val="en-US" w:eastAsia="zh-CN"/>
        </w:rPr>
        <w:t xml:space="preserve">  规划和建设</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jc w:val="both"/>
        <w:textAlignment w:val="auto"/>
        <w:rPr>
          <w:rFonts w:hint="eastAsia" w:ascii="宋体" w:hAnsi="宋体" w:eastAsia="宋体" w:cs="宋体"/>
          <w:b w:val="0"/>
          <w:bCs/>
          <w:color w:val="auto"/>
          <w:spacing w:val="0"/>
          <w:sz w:val="32"/>
          <w:szCs w:val="32"/>
          <w:lang w:val="en-US" w:eastAsia="zh-CN"/>
        </w:rPr>
      </w:pPr>
      <w:r>
        <w:rPr>
          <w:rFonts w:hint="eastAsia" w:ascii="宋体" w:hAnsi="宋体" w:eastAsia="宋体" w:cs="宋体"/>
          <w:b w:val="0"/>
          <w:bCs/>
          <w:color w:val="auto"/>
          <w:spacing w:val="0"/>
          <w:sz w:val="32"/>
          <w:szCs w:val="32"/>
          <w:lang w:val="en-US" w:eastAsia="zh-CN"/>
        </w:rPr>
        <w:t>第三章  保护和管理</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jc w:val="both"/>
        <w:textAlignment w:val="auto"/>
        <w:rPr>
          <w:rFonts w:hint="eastAsia" w:ascii="宋体" w:hAnsi="宋体" w:eastAsia="宋体" w:cs="宋体"/>
          <w:b w:val="0"/>
          <w:bCs/>
          <w:color w:val="auto"/>
          <w:spacing w:val="0"/>
          <w:sz w:val="32"/>
          <w:szCs w:val="32"/>
          <w:lang w:val="en-US" w:eastAsia="zh-CN"/>
        </w:rPr>
      </w:pPr>
      <w:r>
        <w:rPr>
          <w:rFonts w:hint="eastAsia" w:ascii="宋体" w:hAnsi="宋体" w:eastAsia="宋体" w:cs="宋体"/>
          <w:b w:val="0"/>
          <w:bCs/>
          <w:color w:val="auto"/>
          <w:spacing w:val="0"/>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both"/>
        <w:textAlignment w:val="auto"/>
        <w:rPr>
          <w:rFonts w:hint="eastAsia" w:ascii="宋体" w:hAnsi="宋体" w:eastAsia="宋体" w:cs="宋体"/>
          <w:b w:val="0"/>
          <w:bCs/>
          <w:color w:val="000000"/>
          <w:spacing w:val="0"/>
          <w:sz w:val="32"/>
          <w:szCs w:val="32"/>
          <w:lang w:val="en-US" w:eastAsia="zh-CN"/>
        </w:rPr>
      </w:pPr>
      <w:r>
        <w:rPr>
          <w:rFonts w:hint="eastAsia" w:ascii="宋体" w:hAnsi="宋体" w:eastAsia="宋体" w:cs="宋体"/>
          <w:b w:val="0"/>
          <w:bCs/>
          <w:color w:val="000000"/>
          <w:spacing w:val="0"/>
          <w:sz w:val="32"/>
          <w:szCs w:val="32"/>
          <w:lang w:eastAsia="zh-CN"/>
        </w:rPr>
        <w:t>第五章</w:t>
      </w:r>
      <w:r>
        <w:rPr>
          <w:rFonts w:hint="eastAsia" w:ascii="宋体" w:hAnsi="宋体" w:eastAsia="宋体" w:cs="宋体"/>
          <w:b w:val="0"/>
          <w:bCs/>
          <w:color w:val="000000"/>
          <w:spacing w:val="0"/>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after="220" w:afterLines="50" w:line="520" w:lineRule="exact"/>
        <w:jc w:val="center"/>
        <w:textAlignment w:val="auto"/>
        <w:rPr>
          <w:rFonts w:hint="eastAsia" w:ascii="黑体" w:hAnsi="黑体" w:eastAsia="黑体" w:cs="黑体"/>
          <w:bCs/>
          <w:color w:val="000000"/>
          <w:spacing w:val="0"/>
          <w:sz w:val="32"/>
          <w:szCs w:val="32"/>
          <w:lang w:eastAsia="zh-CN"/>
        </w:rPr>
      </w:pPr>
      <w:r>
        <w:rPr>
          <w:rFonts w:hint="eastAsia" w:ascii="黑体" w:hAnsi="黑体" w:eastAsia="黑体" w:cs="黑体"/>
          <w:bCs/>
          <w:color w:val="000000"/>
          <w:spacing w:val="0"/>
          <w:sz w:val="32"/>
          <w:szCs w:val="32"/>
          <w:lang w:eastAsia="zh-CN"/>
        </w:rPr>
        <w:t>第一章</w:t>
      </w:r>
      <w:r>
        <w:rPr>
          <w:rFonts w:hint="eastAsia" w:ascii="黑体" w:hAnsi="黑体" w:eastAsia="黑体" w:cs="黑体"/>
          <w:bCs/>
          <w:color w:val="000000"/>
          <w:spacing w:val="0"/>
          <w:sz w:val="32"/>
          <w:szCs w:val="32"/>
          <w:lang w:val="en-US" w:eastAsia="zh-CN"/>
        </w:rPr>
        <w:t xml:space="preserve">  </w:t>
      </w:r>
      <w:r>
        <w:rPr>
          <w:rFonts w:hint="eastAsia" w:ascii="黑体" w:hAnsi="黑体" w:eastAsia="黑体" w:cs="黑体"/>
          <w:bCs/>
          <w:color w:val="000000"/>
          <w:spacing w:val="0"/>
          <w:sz w:val="32"/>
          <w:szCs w:val="32"/>
          <w:lang w:eastAsia="zh-CN"/>
        </w:rPr>
        <w:t>总</w:t>
      </w:r>
      <w:r>
        <w:rPr>
          <w:rFonts w:hint="eastAsia" w:ascii="黑体" w:hAnsi="黑体" w:eastAsia="黑体" w:cs="黑体"/>
          <w:bCs/>
          <w:color w:val="000000"/>
          <w:spacing w:val="0"/>
          <w:sz w:val="32"/>
          <w:szCs w:val="32"/>
          <w:lang w:val="en-US" w:eastAsia="zh-CN"/>
        </w:rPr>
        <w:t xml:space="preserve">    </w:t>
      </w:r>
      <w:r>
        <w:rPr>
          <w:rFonts w:hint="eastAsia" w:ascii="黑体" w:hAnsi="黑体" w:eastAsia="黑体" w:cs="黑体"/>
          <w:bCs/>
          <w:color w:val="000000"/>
          <w:spacing w:val="0"/>
          <w:sz w:val="32"/>
          <w:szCs w:val="32"/>
          <w:lang w:eastAsia="zh-CN"/>
        </w:rPr>
        <w:t>则</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ascii="黑体" w:hAnsi="黑体" w:eastAsia="黑体" w:cs="黑体"/>
          <w:b w:val="0"/>
          <w:bCs w:val="0"/>
          <w:spacing w:val="0"/>
          <w:sz w:val="32"/>
          <w:szCs w:val="32"/>
          <w:lang w:eastAsia="zh-CN"/>
        </w:rPr>
        <w:t>第一条</w:t>
      </w:r>
      <w:r>
        <w:rPr>
          <w:rFonts w:hint="eastAsia" w:ascii="黑体" w:hAnsi="黑体" w:eastAsia="黑体" w:cs="黑体"/>
          <w:b w:val="0"/>
          <w:bCs w:val="0"/>
          <w:spacing w:val="0"/>
          <w:sz w:val="32"/>
          <w:szCs w:val="32"/>
          <w:lang w:val="en-US" w:eastAsia="zh-CN"/>
        </w:rPr>
        <w:t xml:space="preserve">  </w:t>
      </w:r>
      <w:r>
        <w:rPr>
          <w:rFonts w:hint="eastAsia" w:eastAsia="仿宋_GB2312"/>
          <w:spacing w:val="0"/>
          <w:sz w:val="32"/>
          <w:szCs w:val="32"/>
          <w:lang w:eastAsia="zh-CN"/>
        </w:rPr>
        <w:t>为了促进城市园林绿化事业发展，改善城市生态环境，提高人居环境质量，建设美丽莆田，根据《城市绿化条例》《福建省城市园林绿化管理条例》和有关法律、法规，结合本市实际，制定本条例。</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ascii="黑体" w:hAnsi="黑体" w:eastAsia="黑体" w:cs="黑体"/>
          <w:b w:val="0"/>
          <w:bCs w:val="0"/>
          <w:spacing w:val="0"/>
          <w:sz w:val="32"/>
          <w:szCs w:val="32"/>
          <w:lang w:eastAsia="zh-CN"/>
        </w:rPr>
        <w:t>第二条</w:t>
      </w:r>
      <w:r>
        <w:rPr>
          <w:rFonts w:hint="eastAsia" w:ascii="黑体" w:hAnsi="黑体" w:eastAsia="黑体" w:cs="黑体"/>
          <w:b w:val="0"/>
          <w:bCs w:val="0"/>
          <w:spacing w:val="0"/>
          <w:sz w:val="32"/>
          <w:szCs w:val="32"/>
          <w:lang w:val="en-US" w:eastAsia="zh-CN"/>
        </w:rPr>
        <w:t xml:space="preserve">  </w:t>
      </w:r>
      <w:r>
        <w:rPr>
          <w:rFonts w:hint="eastAsia" w:eastAsia="仿宋_GB2312"/>
          <w:spacing w:val="0"/>
          <w:sz w:val="32"/>
          <w:szCs w:val="32"/>
          <w:lang w:eastAsia="zh-CN"/>
        </w:rPr>
        <w:t>本市城镇开发边界范围内园林绿化的规划、建设、保护和管理，适用本条例。</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法律、法规对自然保护区、风景名胜区、饮用水水源保护区、公园、湿地、林地、公路等区域绿地的规划、建设、保护和管理另有规定的，从其规定。</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textAlignment w:val="auto"/>
        <w:rPr>
          <w:rFonts w:hint="eastAsia" w:eastAsia="仿宋_GB2312"/>
          <w:spacing w:val="0"/>
          <w:sz w:val="32"/>
          <w:szCs w:val="32"/>
          <w:lang w:eastAsia="zh-CN"/>
        </w:rPr>
      </w:pPr>
      <w:r>
        <w:rPr>
          <w:rFonts w:hint="eastAsia" w:ascii="黑体" w:hAnsi="黑体" w:eastAsia="黑体" w:cs="黑体"/>
          <w:b w:val="0"/>
          <w:bCs w:val="0"/>
          <w:spacing w:val="0"/>
          <w:sz w:val="32"/>
          <w:szCs w:val="32"/>
          <w:lang w:eastAsia="zh-CN"/>
        </w:rPr>
        <w:t>第三条</w:t>
      </w:r>
      <w:r>
        <w:rPr>
          <w:rFonts w:hint="eastAsia" w:ascii="黑体" w:hAnsi="黑体" w:eastAsia="黑体" w:cs="黑体"/>
          <w:b w:val="0"/>
          <w:bCs w:val="0"/>
          <w:spacing w:val="0"/>
          <w:sz w:val="32"/>
          <w:szCs w:val="32"/>
          <w:lang w:val="en-US" w:eastAsia="zh-CN"/>
        </w:rPr>
        <w:t xml:space="preserve">  </w:t>
      </w:r>
      <w:r>
        <w:rPr>
          <w:rFonts w:hint="eastAsia" w:eastAsia="仿宋_GB2312"/>
          <w:spacing w:val="0"/>
          <w:sz w:val="32"/>
          <w:szCs w:val="32"/>
          <w:lang w:eastAsia="zh-CN"/>
        </w:rPr>
        <w:t>城市园林绿化应当坚持以人为本、生态优先、科学规划、因地制宜、建管并重的原则，注重地域特色、文化传承、景观融合，</w:t>
      </w:r>
      <w:r>
        <w:rPr>
          <w:rFonts w:hint="eastAsia" w:eastAsia="仿宋_GB2312"/>
          <w:spacing w:val="0"/>
          <w:sz w:val="32"/>
          <w:szCs w:val="32"/>
          <w:lang w:val="en-US" w:eastAsia="zh-CN"/>
        </w:rPr>
        <w:t>城市生态绿心及周边城区</w:t>
      </w:r>
      <w:r>
        <w:rPr>
          <w:rFonts w:hint="default" w:eastAsia="仿宋_GB2312"/>
          <w:spacing w:val="0"/>
          <w:sz w:val="32"/>
          <w:szCs w:val="32"/>
          <w:lang w:val="en-US" w:eastAsia="zh-CN"/>
        </w:rPr>
        <w:t>宜结合河网水系展现“荔林水乡”景观特色</w:t>
      </w:r>
      <w:r>
        <w:rPr>
          <w:rFonts w:hint="eastAsia" w:eastAsia="仿宋_GB2312"/>
          <w:spacing w:val="0"/>
          <w:sz w:val="32"/>
          <w:szCs w:val="32"/>
          <w:lang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textAlignment w:val="auto"/>
        <w:rPr>
          <w:rFonts w:hint="eastAsia" w:eastAsia="仿宋_GB2312"/>
          <w:spacing w:val="0"/>
          <w:sz w:val="32"/>
          <w:szCs w:val="32"/>
          <w:lang w:eastAsia="zh-CN"/>
        </w:rPr>
      </w:pPr>
      <w:r>
        <w:rPr>
          <w:rFonts w:hint="eastAsia" w:ascii="黑体" w:hAnsi="黑体" w:eastAsia="黑体" w:cs="黑体"/>
          <w:b w:val="0"/>
          <w:bCs w:val="0"/>
          <w:spacing w:val="0"/>
          <w:sz w:val="32"/>
          <w:szCs w:val="32"/>
          <w:lang w:eastAsia="zh-CN"/>
        </w:rPr>
        <w:t>第四条</w:t>
      </w:r>
      <w:r>
        <w:rPr>
          <w:rFonts w:hint="eastAsia" w:ascii="黑体" w:hAnsi="黑体" w:eastAsia="黑体" w:cs="黑体"/>
          <w:b w:val="0"/>
          <w:bCs w:val="0"/>
          <w:spacing w:val="0"/>
          <w:sz w:val="32"/>
          <w:szCs w:val="32"/>
          <w:lang w:val="en-US" w:eastAsia="zh-CN"/>
        </w:rPr>
        <w:t xml:space="preserve">  </w:t>
      </w:r>
      <w:r>
        <w:rPr>
          <w:rFonts w:hint="eastAsia" w:eastAsia="仿宋_GB2312"/>
          <w:spacing w:val="0"/>
          <w:sz w:val="32"/>
          <w:szCs w:val="32"/>
          <w:lang w:eastAsia="zh-CN"/>
        </w:rPr>
        <w:t>市、县（区）人民政府应当把城市园林绿化事业纳入国民经济和社会发展规划，并将城市园林绿化经费列入本级预算，保障城市园林绿化资金和用地，组织开展城市园林绿化工作。</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乡（镇）人民政府、街道办事处按照职责做好城市园林绿化的相关工作。</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textAlignment w:val="auto"/>
        <w:rPr>
          <w:rFonts w:hint="eastAsia" w:hAnsi="Times New Roman" w:eastAsia="仿宋_GB2312"/>
          <w:spacing w:val="0"/>
          <w:sz w:val="32"/>
          <w:szCs w:val="32"/>
          <w:lang w:eastAsia="zh-CN"/>
        </w:rPr>
      </w:pPr>
      <w:r>
        <w:rPr>
          <w:rFonts w:hint="eastAsia" w:ascii="黑体" w:hAnsi="黑体" w:eastAsia="黑体" w:cs="黑体"/>
          <w:b w:val="0"/>
          <w:bCs w:val="0"/>
          <w:spacing w:val="0"/>
          <w:sz w:val="32"/>
          <w:szCs w:val="32"/>
          <w:lang w:val="en-US" w:eastAsia="zh-CN"/>
        </w:rPr>
        <w:t xml:space="preserve">第五条  </w:t>
      </w:r>
      <w:r>
        <w:rPr>
          <w:rFonts w:hint="eastAsia" w:hAnsi="Times New Roman" w:eastAsia="仿宋_GB2312"/>
          <w:spacing w:val="0"/>
          <w:sz w:val="32"/>
          <w:szCs w:val="32"/>
          <w:lang w:eastAsia="zh-CN"/>
        </w:rPr>
        <w:t>住房和城乡建设部门</w:t>
      </w:r>
      <w:r>
        <w:rPr>
          <w:rFonts w:hint="eastAsia" w:hAnsi="Times New Roman" w:eastAsia="仿宋_GB2312"/>
          <w:spacing w:val="0"/>
          <w:sz w:val="32"/>
          <w:szCs w:val="32"/>
          <w:lang w:val="en-US" w:eastAsia="zh-CN"/>
        </w:rPr>
        <w:t>是园林绿化</w:t>
      </w:r>
      <w:r>
        <w:rPr>
          <w:rFonts w:hint="eastAsia" w:hAnsi="Times New Roman" w:eastAsia="仿宋_GB2312"/>
          <w:spacing w:val="0"/>
          <w:sz w:val="32"/>
          <w:szCs w:val="32"/>
          <w:lang w:eastAsia="zh-CN"/>
        </w:rPr>
        <w:t>主管部门，负责城市园林绿化的统筹协调、监督管理</w:t>
      </w:r>
      <w:r>
        <w:rPr>
          <w:rFonts w:hint="eastAsia" w:hAnsi="Times New Roman" w:eastAsia="仿宋_GB2312"/>
          <w:spacing w:val="0"/>
          <w:sz w:val="32"/>
          <w:szCs w:val="32"/>
          <w:lang w:val="en-US" w:eastAsia="zh-CN"/>
        </w:rPr>
        <w:t>等</w:t>
      </w:r>
      <w:r>
        <w:rPr>
          <w:rFonts w:hint="eastAsia" w:hAnsi="Times New Roman" w:eastAsia="仿宋_GB2312"/>
          <w:spacing w:val="0"/>
          <w:sz w:val="32"/>
          <w:szCs w:val="32"/>
          <w:lang w:eastAsia="zh-CN"/>
        </w:rPr>
        <w:t>工作。</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发展和改革、公安、财政、自然资源、生态环境、交通运输、水行政、林业、文化和旅游、城市管理等部门，按照各自职责共同做好城市园林绿化相关工作。</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供电、通信、供水、排水、燃气、市政等单位应当配合做好城市园林绿化相关工作。</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textAlignment w:val="auto"/>
        <w:rPr>
          <w:rFonts w:hint="eastAsia" w:eastAsia="仿宋_GB2312"/>
          <w:spacing w:val="0"/>
          <w:sz w:val="32"/>
          <w:szCs w:val="32"/>
          <w:lang w:eastAsia="zh-CN"/>
        </w:rPr>
      </w:pPr>
      <w:r>
        <w:rPr>
          <w:rFonts w:hint="eastAsia" w:ascii="黑体" w:hAnsi="黑体" w:eastAsia="黑体" w:cs="黑体"/>
          <w:b w:val="0"/>
          <w:bCs w:val="0"/>
          <w:spacing w:val="0"/>
          <w:sz w:val="32"/>
          <w:szCs w:val="32"/>
          <w:lang w:eastAsia="zh-CN"/>
        </w:rPr>
        <w:t>第六条</w:t>
      </w:r>
      <w:r>
        <w:rPr>
          <w:rFonts w:hint="eastAsia" w:ascii="黑体" w:hAnsi="黑体" w:eastAsia="黑体" w:cs="黑体"/>
          <w:b w:val="0"/>
          <w:bCs w:val="0"/>
          <w:spacing w:val="0"/>
          <w:sz w:val="32"/>
          <w:szCs w:val="32"/>
          <w:lang w:val="en-US" w:eastAsia="zh-CN"/>
        </w:rPr>
        <w:t xml:space="preserve">  </w:t>
      </w:r>
      <w:r>
        <w:rPr>
          <w:rFonts w:hint="eastAsia" w:eastAsia="仿宋_GB2312"/>
          <w:spacing w:val="0"/>
          <w:sz w:val="32"/>
          <w:szCs w:val="32"/>
          <w:lang w:eastAsia="zh-CN"/>
        </w:rPr>
        <w:t>任何单位和个人都应当爱护园林绿地树木花草和设施，有权劝止、投诉和举报破坏城市园林绿化的行为。</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鼓励开展园林式居住区、园林式单位等创建活动。鼓励单位和个人以捐赠捐资、认养认管、志愿服务等方式，参与城市园林绿化建设和养护活动。</w:t>
      </w:r>
    </w:p>
    <w:p>
      <w:pPr>
        <w:keepNext w:val="0"/>
        <w:keepLines w:val="0"/>
        <w:pageBreakBefore w:val="0"/>
        <w:widowControl w:val="0"/>
        <w:kinsoku/>
        <w:wordWrap/>
        <w:overflowPunct/>
        <w:topLinePunct w:val="0"/>
        <w:autoSpaceDE/>
        <w:autoSpaceDN/>
        <w:bidi w:val="0"/>
        <w:adjustRightInd/>
        <w:snapToGrid/>
        <w:spacing w:before="220" w:beforeLines="50" w:after="220" w:afterLines="50" w:line="520" w:lineRule="exact"/>
        <w:jc w:val="center"/>
        <w:textAlignment w:val="auto"/>
        <w:rPr>
          <w:rFonts w:hint="eastAsia" w:ascii="黑体" w:hAnsi="黑体" w:eastAsia="黑体" w:cs="黑体"/>
          <w:b w:val="0"/>
          <w:bCs w:val="0"/>
          <w:color w:val="000000"/>
          <w:spacing w:val="0"/>
          <w:sz w:val="32"/>
          <w:szCs w:val="32"/>
          <w:lang w:val="en-US" w:eastAsia="zh-CN"/>
        </w:rPr>
      </w:pPr>
      <w:r>
        <w:rPr>
          <w:rFonts w:hint="eastAsia" w:ascii="黑体" w:hAnsi="黑体" w:eastAsia="黑体" w:cs="黑体"/>
          <w:b w:val="0"/>
          <w:bCs w:val="0"/>
          <w:color w:val="000000"/>
          <w:spacing w:val="0"/>
          <w:sz w:val="32"/>
          <w:szCs w:val="32"/>
          <w:lang w:eastAsia="zh-CN"/>
        </w:rPr>
        <w:t>第二章</w:t>
      </w:r>
      <w:r>
        <w:rPr>
          <w:rFonts w:hint="eastAsia" w:ascii="黑体" w:hAnsi="黑体" w:eastAsia="黑体" w:cs="黑体"/>
          <w:b w:val="0"/>
          <w:bCs w:val="0"/>
          <w:color w:val="000000"/>
          <w:spacing w:val="0"/>
          <w:sz w:val="32"/>
          <w:szCs w:val="32"/>
          <w:lang w:val="en-US" w:eastAsia="zh-CN"/>
        </w:rPr>
        <w:t xml:space="preserve">  规划和建设</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eastAsia" w:eastAsia="仿宋_GB2312"/>
          <w:spacing w:val="0"/>
          <w:sz w:val="32"/>
          <w:szCs w:val="32"/>
          <w:lang w:eastAsia="zh-CN"/>
        </w:rPr>
      </w:pPr>
      <w:r>
        <w:rPr>
          <w:rFonts w:hint="eastAsia" w:ascii="黑体" w:hAnsi="黑体" w:eastAsia="黑体" w:cs="黑体"/>
          <w:b w:val="0"/>
          <w:bCs w:val="0"/>
          <w:spacing w:val="0"/>
          <w:sz w:val="32"/>
          <w:szCs w:val="32"/>
          <w:lang w:eastAsia="zh-CN"/>
        </w:rPr>
        <w:t>第七条</w:t>
      </w:r>
      <w:r>
        <w:rPr>
          <w:rFonts w:hint="eastAsia" w:ascii="黑体" w:hAnsi="黑体" w:eastAsia="黑体" w:cs="黑体"/>
          <w:b w:val="0"/>
          <w:bCs w:val="0"/>
          <w:spacing w:val="0"/>
          <w:sz w:val="32"/>
          <w:szCs w:val="32"/>
          <w:lang w:val="en-US" w:eastAsia="zh-CN"/>
        </w:rPr>
        <w:t xml:space="preserve">  </w:t>
      </w:r>
      <w:r>
        <w:rPr>
          <w:rFonts w:hint="eastAsia" w:eastAsia="仿宋_GB2312"/>
          <w:spacing w:val="0"/>
          <w:sz w:val="32"/>
          <w:szCs w:val="32"/>
          <w:lang w:eastAsia="zh-CN"/>
        </w:rPr>
        <w:t>市、县人民政府应当组织自然资源、园林绿化等主管部门共同编制城市绿地系统规划，并纳入国土空间规划，实施国土空间基础信息平台管理。</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城市绿地系统规划应当明确城市绿地系统发展目标、指标和布局结构，确定公园绿地、防护绿地、广场用地等城市绿线，并与供电、通信、供水、排水、燃气、市政等专项规划互相协调，科学预留基础设施建设空间。</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城市绿地系统规划在实施中确需调整的，应当按照原审批程序重新报批。</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eastAsia" w:eastAsia="仿宋_GB2312"/>
          <w:spacing w:val="0"/>
          <w:sz w:val="32"/>
          <w:szCs w:val="32"/>
          <w:lang w:eastAsia="zh-CN"/>
        </w:rPr>
      </w:pPr>
      <w:r>
        <w:rPr>
          <w:rFonts w:hint="eastAsia" w:ascii="黑体" w:hAnsi="黑体" w:eastAsia="黑体" w:cs="黑体"/>
          <w:b w:val="0"/>
          <w:bCs w:val="0"/>
          <w:spacing w:val="0"/>
          <w:sz w:val="32"/>
          <w:szCs w:val="32"/>
          <w:lang w:eastAsia="zh-CN"/>
        </w:rPr>
        <w:t>第八条</w:t>
      </w:r>
      <w:r>
        <w:rPr>
          <w:rFonts w:hint="eastAsia" w:ascii="黑体" w:hAnsi="黑体" w:eastAsia="黑体" w:cs="黑体"/>
          <w:b w:val="0"/>
          <w:bCs w:val="0"/>
          <w:spacing w:val="0"/>
          <w:sz w:val="32"/>
          <w:szCs w:val="32"/>
          <w:lang w:val="en-US" w:eastAsia="zh-CN"/>
        </w:rPr>
        <w:t xml:space="preserve">  </w:t>
      </w:r>
      <w:r>
        <w:rPr>
          <w:rFonts w:hint="eastAsia" w:eastAsia="仿宋_GB2312"/>
          <w:spacing w:val="0"/>
          <w:sz w:val="32"/>
          <w:szCs w:val="32"/>
          <w:lang w:eastAsia="zh-CN"/>
        </w:rPr>
        <w:t>自然资源主管部门组织编制详细规划时，应当分阶段划定落实各类城市绿线，经同级人民政府批准后向社会公布，接受公众监督。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经批准的城市绿线不得擅自调整，城市绿线范围内的用地不得擅自改作他用。确需调整城市绿线或者变更用地性质的，自然资源主管部门应当征求园林绿化主管部门的意见，并按照法定的条件和程序调整详细规划。调整时不得减少该详细规划单元内园林绿地总面积，不得降低园林绿地服务半径覆盖率，不得将自然生态资源丰富、地方景观特色明显的园林绿地调出城市绿线。</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eastAsia" w:eastAsia="仿宋_GB2312"/>
          <w:spacing w:val="0"/>
          <w:sz w:val="32"/>
          <w:szCs w:val="32"/>
          <w:lang w:eastAsia="zh-CN"/>
        </w:rPr>
      </w:pPr>
      <w:r>
        <w:rPr>
          <w:rFonts w:hint="eastAsia" w:ascii="黑体" w:hAnsi="黑体" w:eastAsia="黑体" w:cs="黑体"/>
          <w:b w:val="0"/>
          <w:bCs w:val="0"/>
          <w:spacing w:val="0"/>
          <w:sz w:val="32"/>
          <w:szCs w:val="32"/>
          <w:lang w:eastAsia="zh-CN"/>
        </w:rPr>
        <w:t>第九条</w:t>
      </w:r>
      <w:r>
        <w:rPr>
          <w:rFonts w:hint="eastAsia" w:ascii="黑体" w:hAnsi="黑体" w:eastAsia="黑体" w:cs="黑体"/>
          <w:b w:val="0"/>
          <w:bCs w:val="0"/>
          <w:spacing w:val="0"/>
          <w:sz w:val="32"/>
          <w:szCs w:val="32"/>
          <w:lang w:val="en-US" w:eastAsia="zh-CN"/>
        </w:rPr>
        <w:t xml:space="preserve">  </w:t>
      </w:r>
      <w:r>
        <w:rPr>
          <w:rFonts w:hint="eastAsia" w:ascii="仿宋" w:hAnsi="仿宋" w:eastAsia="仿宋_GB2312" w:cs="仿宋"/>
          <w:spacing w:val="0"/>
          <w:sz w:val="32"/>
          <w:szCs w:val="32"/>
          <w:lang w:eastAsia="zh-CN"/>
        </w:rPr>
        <w:t>各类</w:t>
      </w:r>
      <w:r>
        <w:rPr>
          <w:rFonts w:hint="eastAsia" w:eastAsia="仿宋_GB2312"/>
          <w:spacing w:val="0"/>
          <w:sz w:val="32"/>
          <w:szCs w:val="32"/>
          <w:lang w:eastAsia="zh-CN"/>
        </w:rPr>
        <w:t>建设项目应当合理安排附属绿地，附属绿地面积占建设项目用地面积的比例应当符合下列标准：</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（一）新建区居住类建设项目不低于百分之三十；</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（二）新建区主干道不低于百分之二十；</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（三）新建区公共管理与服务设施类建设项目不低于百分之三十五；</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（四）旧城改造区和新建区其他类建设项目由市人民政府按照不低于国家和省有关标准确定具体比例。</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历史文化街区、名镇、名村、传统村落和文物保护单位、历史建筑、传统风貌建筑保护范围内的规划建设活动，不得减少原有的绿地面积。</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ascii="黑体" w:hAnsi="黑体" w:eastAsia="黑体" w:cs="黑体"/>
          <w:b w:val="0"/>
          <w:bCs w:val="0"/>
          <w:spacing w:val="0"/>
          <w:sz w:val="32"/>
          <w:szCs w:val="32"/>
          <w:lang w:eastAsia="zh-CN"/>
        </w:rPr>
        <w:t>第十条</w:t>
      </w:r>
      <w:r>
        <w:rPr>
          <w:rFonts w:hint="eastAsia" w:ascii="黑体" w:hAnsi="黑体" w:eastAsia="黑体" w:cs="黑体"/>
          <w:b w:val="0"/>
          <w:bCs w:val="0"/>
          <w:spacing w:val="0"/>
          <w:sz w:val="32"/>
          <w:szCs w:val="32"/>
          <w:lang w:val="en-US" w:eastAsia="zh-CN"/>
        </w:rPr>
        <w:t xml:space="preserve">  </w:t>
      </w:r>
      <w:r>
        <w:rPr>
          <w:rFonts w:hint="eastAsia" w:eastAsia="仿宋_GB2312"/>
          <w:spacing w:val="0"/>
          <w:sz w:val="32"/>
          <w:szCs w:val="32"/>
          <w:lang w:eastAsia="zh-CN"/>
        </w:rPr>
        <w:t>公园绿地和附属绿地的规划建设，应当以植物种植为主。公园绿地的植物种植面积不低于其陆地总面积的百分之七</w:t>
      </w:r>
      <w:r>
        <w:rPr>
          <w:rFonts w:hint="eastAsia" w:eastAsia="仿宋_GB2312"/>
          <w:spacing w:val="-11"/>
          <w:sz w:val="32"/>
          <w:szCs w:val="32"/>
          <w:lang w:eastAsia="zh-CN"/>
        </w:rPr>
        <w:t>十；附属绿地的植物种植面积不低于其绿地总面积的百分之七十五。</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防护绿地和广场用地的规划建设，应当满足城市绿地特定功能的需要。防护绿地的植物种植面积不低于其用地总面积的百分之七十五；广场用地的植物种植面积不低于其用地总面积的百分之三十五。</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ascii="黑体" w:hAnsi="黑体" w:eastAsia="黑体" w:cs="黑体"/>
          <w:b w:val="0"/>
          <w:bCs w:val="0"/>
          <w:spacing w:val="0"/>
          <w:sz w:val="32"/>
          <w:szCs w:val="32"/>
          <w:lang w:eastAsia="zh-CN"/>
        </w:rPr>
        <w:t>第十一条</w:t>
      </w:r>
      <w:r>
        <w:rPr>
          <w:rFonts w:hint="eastAsia" w:ascii="黑体" w:hAnsi="黑体" w:eastAsia="黑体" w:cs="黑体"/>
          <w:b w:val="0"/>
          <w:bCs w:val="0"/>
          <w:spacing w:val="0"/>
          <w:sz w:val="32"/>
          <w:szCs w:val="32"/>
          <w:lang w:val="en-US" w:eastAsia="zh-CN"/>
        </w:rPr>
        <w:t xml:space="preserve">  </w:t>
      </w:r>
      <w:r>
        <w:rPr>
          <w:rFonts w:hint="eastAsia" w:eastAsia="仿宋_GB2312"/>
          <w:spacing w:val="0"/>
          <w:sz w:val="32"/>
          <w:szCs w:val="32"/>
          <w:lang w:eastAsia="zh-CN"/>
        </w:rPr>
        <w:t>市园林绿化主管部门应当组织科学编制适宜本市种植的树种和其他植物名录，并向社会公布。推广荔枝树、月季花等市树市花和油杉、白玉兰、梅花等乡土植物的栽植和应用。</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园林绿化植物配置应当与环境相协调，注重植物群落多样性、合理性、安全性，不得采用带有检疫性、危险性有害生物的植物进行绿化。</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市、县（区）人民政府应当挖掘人文元素和历史文脉，提高园林绿化的文化品位</w:t>
      </w:r>
      <w:r>
        <w:rPr>
          <w:rFonts w:hint="eastAsia" w:ascii="仿宋_GB2312" w:hAnsi="仿宋_GB2312" w:eastAsia="仿宋_GB2312" w:cs="仿宋_GB2312"/>
          <w:spacing w:val="0"/>
          <w:sz w:val="32"/>
          <w:szCs w:val="32"/>
          <w:lang w:eastAsia="zh-CN"/>
        </w:rPr>
        <w:t>和内涵，并</w:t>
      </w:r>
      <w:r>
        <w:rPr>
          <w:rFonts w:hint="eastAsia" w:eastAsia="仿宋_GB2312"/>
          <w:spacing w:val="0"/>
          <w:sz w:val="32"/>
          <w:szCs w:val="32"/>
          <w:lang w:eastAsia="zh-CN"/>
        </w:rPr>
        <w:t>利用城市山体、水系等自然环境建设城市生态绿廊。</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ascii="黑体" w:hAnsi="黑体" w:eastAsia="黑体" w:cs="黑体"/>
          <w:b w:val="0"/>
          <w:bCs w:val="0"/>
          <w:spacing w:val="0"/>
          <w:sz w:val="32"/>
          <w:szCs w:val="32"/>
          <w:lang w:eastAsia="zh-CN"/>
        </w:rPr>
        <w:t>第十二条</w:t>
      </w:r>
      <w:r>
        <w:rPr>
          <w:rFonts w:hint="eastAsia" w:ascii="黑体" w:hAnsi="黑体" w:eastAsia="黑体" w:cs="黑体"/>
          <w:b w:val="0"/>
          <w:bCs w:val="0"/>
          <w:spacing w:val="0"/>
          <w:sz w:val="32"/>
          <w:szCs w:val="32"/>
          <w:lang w:val="en-US" w:eastAsia="zh-CN"/>
        </w:rPr>
        <w:t xml:space="preserve">  </w:t>
      </w:r>
      <w:r>
        <w:rPr>
          <w:rFonts w:hint="eastAsia" w:eastAsia="仿宋_GB2312"/>
          <w:spacing w:val="0"/>
          <w:sz w:val="32"/>
          <w:szCs w:val="32"/>
          <w:lang w:eastAsia="zh-CN"/>
        </w:rPr>
        <w:t>鼓励通过屋顶绿化、墙体绿化、护坡绿化等多种形式进行立体绿化。</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鼓励具备绿化条件的公共停车场、停车位配置（植）庇荫乔木、绿化隔离带，建设林荫停车场。</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鼓励将城市主干道两侧的实体围墙改造为透景透绿围墙。</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ascii="黑体" w:hAnsi="黑体" w:eastAsia="黑体" w:cs="黑体"/>
          <w:b w:val="0"/>
          <w:bCs w:val="0"/>
          <w:spacing w:val="0"/>
          <w:sz w:val="32"/>
          <w:szCs w:val="32"/>
          <w:lang w:eastAsia="zh-CN"/>
        </w:rPr>
        <w:t>第十三条</w:t>
      </w:r>
      <w:r>
        <w:rPr>
          <w:rFonts w:hint="eastAsia" w:ascii="黑体" w:hAnsi="黑体" w:eastAsia="黑体" w:cs="黑体"/>
          <w:b w:val="0"/>
          <w:bCs w:val="0"/>
          <w:spacing w:val="0"/>
          <w:sz w:val="32"/>
          <w:szCs w:val="32"/>
          <w:lang w:val="en-US" w:eastAsia="zh-CN"/>
        </w:rPr>
        <w:t xml:space="preserve">  </w:t>
      </w:r>
      <w:r>
        <w:rPr>
          <w:rFonts w:hint="eastAsia" w:eastAsia="仿宋_GB2312"/>
          <w:spacing w:val="0"/>
          <w:sz w:val="32"/>
          <w:szCs w:val="32"/>
          <w:lang w:eastAsia="zh-CN"/>
        </w:rPr>
        <w:t>城市道路两侧人行道应当种植行道树，兼顾遮荫、行人通行、应急救援和交通安全的要求。行道树种植应当避免对地下管道（线）、路面及相关设施造成破坏。</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eastAsia="仿宋_GB2312"/>
          <w:spacing w:val="0"/>
          <w:sz w:val="32"/>
          <w:szCs w:val="32"/>
          <w:lang w:eastAsia="zh-CN"/>
        </w:rPr>
        <w:t>新建、改建、扩建工程的管道（线）、设施，应当按照国家有关规定与树木保持距离。工程建设可能影响树木正常生长的，应当采取保护措施。</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eastAsia="仿宋_GB2312"/>
          <w:spacing w:val="0"/>
          <w:sz w:val="32"/>
          <w:szCs w:val="32"/>
          <w:lang w:eastAsia="zh-CN"/>
        </w:rPr>
      </w:pPr>
      <w:r>
        <w:rPr>
          <w:rFonts w:hint="eastAsia" w:ascii="黑体" w:hAnsi="黑体" w:eastAsia="黑体" w:cs="黑体"/>
          <w:b w:val="0"/>
          <w:bCs w:val="0"/>
          <w:spacing w:val="0"/>
          <w:sz w:val="32"/>
          <w:szCs w:val="32"/>
          <w:lang w:eastAsia="zh-CN"/>
        </w:rPr>
        <w:t>第十四条</w:t>
      </w:r>
      <w:r>
        <w:rPr>
          <w:rFonts w:hint="eastAsia" w:ascii="黑体" w:hAnsi="黑体" w:eastAsia="黑体" w:cs="黑体"/>
          <w:b w:val="0"/>
          <w:bCs w:val="0"/>
          <w:spacing w:val="0"/>
          <w:sz w:val="32"/>
          <w:szCs w:val="32"/>
          <w:lang w:val="en-US" w:eastAsia="zh-CN"/>
        </w:rPr>
        <w:t xml:space="preserve">  </w:t>
      </w:r>
      <w:r>
        <w:rPr>
          <w:rFonts w:hint="eastAsia" w:eastAsia="仿宋_GB2312"/>
          <w:spacing w:val="0"/>
          <w:sz w:val="32"/>
          <w:szCs w:val="32"/>
          <w:lang w:eastAsia="zh-CN"/>
        </w:rPr>
        <w:t>在园林绿地区域内进行地下空间开发利用的，应当符合国家和省有关规定。地下空间顶面应当留有符合植物生长要求的覆土层，不得妨碍地表规划功能，不得影响植物正常生长和园林绿地使用功能。</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第十五条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自然资源主管部门在审批建设项目时，应当按照本条例第九条的规定核实园林绿地规划面积</w:t>
      </w:r>
      <w:r>
        <w:rPr>
          <w:rFonts w:hint="eastAsia" w:ascii="宋体" w:hAnsi="宋体" w:eastAsia="仿宋_GB2312"/>
          <w:strike w:val="0"/>
          <w:dstrike w:val="0"/>
          <w:color w:val="auto"/>
          <w:sz w:val="32"/>
          <w:szCs w:val="32"/>
          <w:shd w:val="clear" w:color="auto" w:fill="auto"/>
        </w:rPr>
        <w:t>；未达到要求的，不得核发建设工程规划许可证</w:t>
      </w:r>
      <w:r>
        <w:rPr>
          <w:rFonts w:hint="default" w:eastAsia="仿宋_GB2312"/>
          <w:spacing w:val="0"/>
          <w:sz w:val="32"/>
          <w:szCs w:val="32"/>
          <w:lang w:val="en-US"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eastAsia" w:ascii="宋体" w:hAnsi="宋体" w:eastAsia="仿宋_GB2312"/>
          <w:strike w:val="0"/>
          <w:dstrike w:val="0"/>
          <w:color w:val="auto"/>
          <w:sz w:val="32"/>
          <w:szCs w:val="32"/>
          <w:shd w:val="clear" w:color="auto" w:fill="auto"/>
        </w:rPr>
        <w:t>园林绿化主管部门应当加强对园林绿化工程质量安全的监督管理，建立园林绿化工程质量安全管理体系，对园林绿化工程建设进行全过程监督、检查和指导。</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建设项目的附属园林绿化工程，应当与建设项目主体工程同时规划、同时设计、同时</w:t>
      </w:r>
      <w:r>
        <w:rPr>
          <w:rFonts w:hint="eastAsia" w:ascii="宋体" w:hAnsi="宋体" w:eastAsia="仿宋_GB2312"/>
          <w:strike w:val="0"/>
          <w:dstrike w:val="0"/>
          <w:color w:val="auto"/>
          <w:sz w:val="32"/>
          <w:szCs w:val="32"/>
          <w:shd w:val="clear" w:color="auto" w:fill="auto"/>
          <w:lang w:val="en-US" w:eastAsia="zh-CN"/>
        </w:rPr>
        <w:t>建设</w:t>
      </w:r>
      <w:r>
        <w:rPr>
          <w:rFonts w:hint="default" w:ascii="宋体" w:hAnsi="宋体" w:eastAsia="仿宋_GB2312"/>
          <w:strike w:val="0"/>
          <w:dstrike w:val="0"/>
          <w:color w:val="auto"/>
          <w:sz w:val="32"/>
          <w:szCs w:val="32"/>
          <w:shd w:val="clear" w:color="auto" w:fill="auto"/>
          <w:lang w:val="en-US" w:eastAsia="zh-CN"/>
        </w:rPr>
        <w:t>、同</w:t>
      </w:r>
      <w:r>
        <w:rPr>
          <w:rFonts w:hint="default" w:eastAsia="仿宋_GB2312"/>
          <w:spacing w:val="0"/>
          <w:sz w:val="32"/>
          <w:szCs w:val="32"/>
          <w:lang w:val="en-US" w:eastAsia="zh-CN"/>
        </w:rPr>
        <w:t>时验收。</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建设项目的附属园林绿化工程竣工后，建设单位应当依法组织验收，并在建设项目所在地的显著位置设立告示牌，公示园林绿地平面图，标明园林绿地面积。</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第十六条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园林绿化工程竣工验收合格后，建设单位应当在约定的施工养护期届满前，向管护责任</w:t>
      </w:r>
      <w:r>
        <w:rPr>
          <w:rFonts w:hint="eastAsia" w:ascii="宋体" w:hAnsi="宋体" w:eastAsia="仿宋_GB2312"/>
          <w:strike w:val="0"/>
          <w:dstrike w:val="0"/>
          <w:color w:val="auto"/>
          <w:sz w:val="32"/>
          <w:szCs w:val="32"/>
          <w:shd w:val="clear" w:color="auto" w:fill="auto"/>
        </w:rPr>
        <w:t>单位（人）</w:t>
      </w:r>
      <w:r>
        <w:rPr>
          <w:rFonts w:hint="default" w:eastAsia="仿宋_GB2312"/>
          <w:spacing w:val="0"/>
          <w:sz w:val="32"/>
          <w:szCs w:val="32"/>
          <w:lang w:val="en-US" w:eastAsia="zh-CN"/>
        </w:rPr>
        <w:t>申请办理移交手续。施工养护期届满后，管护责任</w:t>
      </w:r>
      <w:r>
        <w:rPr>
          <w:rFonts w:hint="eastAsia" w:ascii="宋体" w:hAnsi="宋体" w:eastAsia="仿宋_GB2312"/>
          <w:strike w:val="0"/>
          <w:dstrike w:val="0"/>
          <w:color w:val="auto"/>
          <w:sz w:val="32"/>
          <w:szCs w:val="32"/>
          <w:shd w:val="clear" w:color="auto" w:fill="auto"/>
        </w:rPr>
        <w:t>单位（人）</w:t>
      </w:r>
      <w:r>
        <w:rPr>
          <w:rFonts w:hint="default" w:eastAsia="仿宋_GB2312"/>
          <w:spacing w:val="0"/>
          <w:sz w:val="32"/>
          <w:szCs w:val="32"/>
          <w:lang w:val="en-US" w:eastAsia="zh-CN"/>
        </w:rPr>
        <w:t>应当予以接收。</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建设单位可以与管护责任</w:t>
      </w:r>
      <w:r>
        <w:rPr>
          <w:rFonts w:hint="eastAsia" w:ascii="宋体" w:hAnsi="宋体" w:eastAsia="仿宋_GB2312"/>
          <w:strike w:val="0"/>
          <w:dstrike w:val="0"/>
          <w:color w:val="auto"/>
          <w:sz w:val="32"/>
          <w:szCs w:val="32"/>
          <w:shd w:val="clear" w:color="auto" w:fill="auto"/>
        </w:rPr>
        <w:t>单位（人）</w:t>
      </w:r>
      <w:r>
        <w:rPr>
          <w:rFonts w:hint="default" w:eastAsia="仿宋_GB2312"/>
          <w:spacing w:val="0"/>
          <w:sz w:val="32"/>
          <w:szCs w:val="32"/>
          <w:lang w:val="en-US" w:eastAsia="zh-CN"/>
        </w:rPr>
        <w:t>协商，商请管护责任</w:t>
      </w:r>
      <w:r>
        <w:rPr>
          <w:rFonts w:hint="eastAsia" w:ascii="宋体" w:hAnsi="宋体" w:eastAsia="仿宋_GB2312"/>
          <w:strike w:val="0"/>
          <w:dstrike w:val="0"/>
          <w:color w:val="auto"/>
          <w:sz w:val="32"/>
          <w:szCs w:val="32"/>
          <w:shd w:val="clear" w:color="auto" w:fill="auto"/>
        </w:rPr>
        <w:t>单位（人）</w:t>
      </w:r>
      <w:r>
        <w:rPr>
          <w:rFonts w:hint="default" w:eastAsia="仿宋_GB2312"/>
          <w:spacing w:val="0"/>
          <w:sz w:val="32"/>
          <w:szCs w:val="32"/>
          <w:lang w:val="en-US" w:eastAsia="zh-CN"/>
        </w:rPr>
        <w:t>提前介入园林绿化工程施工养护期的管理。</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eastAsia" w:ascii="黑体" w:hAnsi="黑体" w:eastAsia="黑体" w:cs="黑体"/>
          <w:b w:val="0"/>
          <w:bCs w:val="0"/>
          <w:spacing w:val="0"/>
          <w:sz w:val="32"/>
          <w:szCs w:val="32"/>
          <w:lang w:val="en-US" w:eastAsia="zh-CN"/>
        </w:rPr>
        <w:t xml:space="preserve">第十七条  </w:t>
      </w:r>
      <w:r>
        <w:rPr>
          <w:rFonts w:hint="eastAsia" w:eastAsia="仿宋_GB2312"/>
          <w:spacing w:val="0"/>
          <w:sz w:val="32"/>
          <w:szCs w:val="32"/>
          <w:lang w:val="en-US" w:eastAsia="zh-CN"/>
        </w:rPr>
        <w:t>闲置土地和</w:t>
      </w:r>
      <w:r>
        <w:rPr>
          <w:rFonts w:hint="default" w:eastAsia="仿宋_GB2312"/>
          <w:spacing w:val="0"/>
          <w:sz w:val="32"/>
          <w:szCs w:val="32"/>
          <w:lang w:val="en-US" w:eastAsia="zh-CN"/>
        </w:rPr>
        <w:t>超过三个月</w:t>
      </w:r>
      <w:r>
        <w:rPr>
          <w:rFonts w:hint="eastAsia" w:eastAsia="仿宋_GB2312"/>
          <w:spacing w:val="0"/>
          <w:sz w:val="32"/>
          <w:szCs w:val="32"/>
          <w:lang w:val="en-US" w:eastAsia="zh-CN"/>
        </w:rPr>
        <w:t>未</w:t>
      </w:r>
      <w:r>
        <w:rPr>
          <w:rFonts w:hint="default" w:eastAsia="仿宋_GB2312"/>
          <w:spacing w:val="0"/>
          <w:sz w:val="32"/>
          <w:szCs w:val="32"/>
          <w:lang w:val="en-US" w:eastAsia="zh-CN"/>
        </w:rPr>
        <w:t>开工的建设用地</w:t>
      </w:r>
      <w:r>
        <w:rPr>
          <w:rFonts w:hint="eastAsia" w:eastAsia="仿宋_GB2312"/>
          <w:spacing w:val="0"/>
          <w:sz w:val="32"/>
          <w:szCs w:val="32"/>
          <w:lang w:val="en-US" w:eastAsia="zh-CN"/>
        </w:rPr>
        <w:t>，</w:t>
      </w:r>
      <w:r>
        <w:rPr>
          <w:rFonts w:hint="default" w:eastAsia="仿宋_GB2312"/>
          <w:spacing w:val="0"/>
          <w:sz w:val="32"/>
          <w:szCs w:val="32"/>
          <w:lang w:val="en-US" w:eastAsia="zh-CN"/>
        </w:rPr>
        <w:t>土地使用权人</w:t>
      </w:r>
      <w:r>
        <w:rPr>
          <w:rFonts w:hint="eastAsia" w:eastAsia="仿宋_GB2312"/>
          <w:spacing w:val="0"/>
          <w:sz w:val="32"/>
          <w:szCs w:val="32"/>
          <w:lang w:val="en-US" w:eastAsia="zh-CN"/>
        </w:rPr>
        <w:t>和</w:t>
      </w:r>
      <w:r>
        <w:rPr>
          <w:rFonts w:hint="default" w:eastAsia="仿宋_GB2312"/>
          <w:spacing w:val="0"/>
          <w:sz w:val="32"/>
          <w:szCs w:val="32"/>
          <w:lang w:val="en-US" w:eastAsia="zh-CN"/>
        </w:rPr>
        <w:t>建设单位应当</w:t>
      </w:r>
      <w:r>
        <w:rPr>
          <w:rFonts w:hint="eastAsia" w:eastAsia="仿宋_GB2312"/>
          <w:spacing w:val="0"/>
          <w:sz w:val="32"/>
          <w:szCs w:val="32"/>
          <w:lang w:val="en-US" w:eastAsia="zh-CN"/>
        </w:rPr>
        <w:t>对</w:t>
      </w:r>
      <w:r>
        <w:rPr>
          <w:rFonts w:hint="default" w:eastAsia="仿宋_GB2312"/>
          <w:spacing w:val="0"/>
          <w:sz w:val="32"/>
          <w:szCs w:val="32"/>
          <w:lang w:val="en-US" w:eastAsia="zh-CN"/>
        </w:rPr>
        <w:t>未进行铺装或者遮盖的裸露地面进行绿化。</w:t>
      </w:r>
    </w:p>
    <w:p>
      <w:pPr>
        <w:keepNext w:val="0"/>
        <w:keepLines w:val="0"/>
        <w:pageBreakBefore w:val="0"/>
        <w:widowControl w:val="0"/>
        <w:numPr>
          <w:ilvl w:val="0"/>
          <w:numId w:val="0"/>
        </w:numPr>
        <w:kinsoku/>
        <w:wordWrap/>
        <w:overflowPunct/>
        <w:topLinePunct w:val="0"/>
        <w:autoSpaceDE/>
        <w:autoSpaceDN/>
        <w:bidi w:val="0"/>
        <w:adjustRightInd/>
        <w:snapToGrid/>
        <w:spacing w:before="220" w:beforeLines="50" w:after="220" w:afterLines="50" w:line="520" w:lineRule="exact"/>
        <w:jc w:val="center"/>
        <w:textAlignment w:val="auto"/>
        <w:rPr>
          <w:rFonts w:hint="eastAsia" w:ascii="黑体" w:hAnsi="黑体" w:eastAsia="黑体" w:cs="黑体"/>
          <w:color w:val="auto"/>
          <w:spacing w:val="0"/>
          <w:sz w:val="32"/>
          <w:szCs w:val="32"/>
          <w:lang w:val="en-US" w:eastAsia="zh-CN"/>
        </w:rPr>
      </w:pPr>
      <w:r>
        <w:rPr>
          <w:rFonts w:hint="eastAsia" w:ascii="黑体" w:hAnsi="黑体" w:eastAsia="黑体" w:cs="黑体"/>
          <w:color w:val="auto"/>
          <w:spacing w:val="0"/>
          <w:sz w:val="32"/>
          <w:szCs w:val="32"/>
          <w:lang w:val="en-US" w:eastAsia="zh-CN"/>
        </w:rPr>
        <w:t>第三章  保护和管理</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第十八条</w:t>
      </w:r>
      <w:r>
        <w:rPr>
          <w:rFonts w:hint="eastAsia" w:ascii="黑体" w:hAnsi="黑体" w:eastAsia="黑体" w:cs="黑体"/>
          <w:b w:val="0"/>
          <w:bCs w:val="0"/>
          <w:spacing w:val="0"/>
          <w:sz w:val="32"/>
          <w:szCs w:val="32"/>
          <w:lang w:val="en-US" w:eastAsia="zh-CN"/>
        </w:rPr>
        <w:t xml:space="preserve">  </w:t>
      </w:r>
      <w:r>
        <w:rPr>
          <w:rFonts w:hint="eastAsia" w:ascii="宋体" w:hAnsi="宋体" w:eastAsia="仿宋_GB2312"/>
          <w:strike w:val="0"/>
          <w:dstrike w:val="0"/>
          <w:color w:val="auto"/>
          <w:sz w:val="32"/>
          <w:szCs w:val="32"/>
          <w:shd w:val="clear" w:color="auto" w:fill="auto"/>
        </w:rPr>
        <w:t>城市园林</w:t>
      </w:r>
      <w:r>
        <w:rPr>
          <w:rFonts w:hint="eastAsia" w:ascii="宋体" w:hAnsi="宋体" w:eastAsia="仿宋_GB2312"/>
          <w:strike w:val="0"/>
          <w:dstrike w:val="0"/>
          <w:color w:val="auto"/>
          <w:sz w:val="32"/>
          <w:szCs w:val="32"/>
          <w:shd w:val="clear" w:color="auto" w:fill="auto"/>
          <w:lang w:eastAsia="zh-CN"/>
        </w:rPr>
        <w:t>绿化</w:t>
      </w:r>
      <w:r>
        <w:rPr>
          <w:rFonts w:hint="eastAsia" w:ascii="宋体" w:hAnsi="宋体" w:eastAsia="仿宋_GB2312"/>
          <w:strike w:val="0"/>
          <w:dstrike w:val="0"/>
          <w:color w:val="auto"/>
          <w:sz w:val="32"/>
          <w:szCs w:val="32"/>
          <w:shd w:val="clear" w:color="auto" w:fill="auto"/>
        </w:rPr>
        <w:t>按照下列规定确定管护责任单位（人）：</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（一）公园绿地由公园管理单位负责；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（二）防护绿地、广场用地、单位附属绿地由所有权人或者管理人负责；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（三）道路</w:t>
      </w:r>
      <w:r>
        <w:rPr>
          <w:rFonts w:hint="eastAsia" w:eastAsia="仿宋_GB2312"/>
          <w:spacing w:val="0"/>
          <w:sz w:val="32"/>
          <w:szCs w:val="32"/>
          <w:lang w:val="en-US" w:eastAsia="zh-CN"/>
        </w:rPr>
        <w:t>附属</w:t>
      </w:r>
      <w:r>
        <w:rPr>
          <w:rFonts w:hint="default" w:eastAsia="仿宋_GB2312"/>
          <w:spacing w:val="0"/>
          <w:sz w:val="32"/>
          <w:szCs w:val="32"/>
          <w:lang w:val="en-US" w:eastAsia="zh-CN"/>
        </w:rPr>
        <w:t>绿地由</w:t>
      </w:r>
      <w:r>
        <w:rPr>
          <w:rFonts w:hint="eastAsia" w:eastAsia="仿宋_GB2312"/>
          <w:spacing w:val="0"/>
          <w:sz w:val="32"/>
          <w:szCs w:val="32"/>
          <w:lang w:val="en-US" w:eastAsia="zh-CN"/>
        </w:rPr>
        <w:t>市、</w:t>
      </w:r>
      <w:r>
        <w:rPr>
          <w:rFonts w:hint="default" w:eastAsia="仿宋_GB2312"/>
          <w:spacing w:val="0"/>
          <w:sz w:val="32"/>
          <w:szCs w:val="32"/>
          <w:lang w:val="en-US" w:eastAsia="zh-CN"/>
        </w:rPr>
        <w:t>县（区）园林绿化主管部门或者乡（镇）人民政府、街道办事处负责；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（四）居住小区内属于业主所有的绿地，实行物业管理的，由业主或者物业服务企业负责；未实行物业管理的，由乡（镇）人民政府、街道办事处负责；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（五）收储土地、征收项目和建设用地范围内保留的绿地，分别由收储单位、征收业主单位和建设单位负责；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（六）公路、河湖、溪流、水库等用地范围内的绿地，由各有关</w:t>
      </w:r>
      <w:r>
        <w:rPr>
          <w:rFonts w:hint="eastAsia" w:eastAsia="仿宋_GB2312"/>
          <w:spacing w:val="0"/>
          <w:sz w:val="32"/>
          <w:szCs w:val="32"/>
          <w:lang w:val="en-US" w:eastAsia="zh-CN"/>
        </w:rPr>
        <w:t>管理单位</w:t>
      </w:r>
      <w:r>
        <w:rPr>
          <w:rFonts w:hint="default" w:eastAsia="仿宋_GB2312"/>
          <w:spacing w:val="0"/>
          <w:sz w:val="32"/>
          <w:szCs w:val="32"/>
          <w:lang w:val="en-US" w:eastAsia="zh-CN"/>
        </w:rPr>
        <w:t>负责；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（七）村庄用地范围内的绿地，由乡（镇）人民政府、街道办事处负责。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前款规定以外以及管护责任不清或者有争议的园林绿地、零星树木，由市</w:t>
      </w:r>
      <w:r>
        <w:rPr>
          <w:rFonts w:hint="default" w:hAnsi="Times New Roman" w:eastAsia="仿宋_GB2312"/>
          <w:spacing w:val="0"/>
          <w:sz w:val="32"/>
          <w:szCs w:val="32"/>
          <w:lang w:val="en-US" w:eastAsia="zh-CN"/>
        </w:rPr>
        <w:t>、县</w:t>
      </w:r>
      <w:r>
        <w:rPr>
          <w:rFonts w:hint="eastAsia" w:ascii="仿宋_GB2312" w:hAnsi="仿宋_GB2312" w:eastAsia="仿宋_GB2312" w:cs="仿宋_GB2312"/>
          <w:spacing w:val="0"/>
          <w:sz w:val="32"/>
          <w:szCs w:val="32"/>
          <w:lang w:val="en-US" w:eastAsia="zh-CN"/>
        </w:rPr>
        <w:t>（区）</w:t>
      </w:r>
      <w:r>
        <w:rPr>
          <w:rFonts w:hint="default" w:hAnsi="Times New Roman" w:eastAsia="仿宋_GB2312"/>
          <w:spacing w:val="0"/>
          <w:sz w:val="32"/>
          <w:szCs w:val="32"/>
          <w:lang w:val="en-US" w:eastAsia="zh-CN"/>
        </w:rPr>
        <w:t>园林绿</w:t>
      </w:r>
      <w:r>
        <w:rPr>
          <w:rFonts w:hint="default" w:eastAsia="仿宋_GB2312"/>
          <w:spacing w:val="0"/>
          <w:sz w:val="32"/>
          <w:szCs w:val="32"/>
          <w:lang w:val="en-US" w:eastAsia="zh-CN"/>
        </w:rPr>
        <w:t>化主管部门确定管护责任</w:t>
      </w:r>
      <w:r>
        <w:rPr>
          <w:rFonts w:hint="eastAsia" w:ascii="宋体" w:hAnsi="宋体" w:eastAsia="仿宋_GB2312"/>
          <w:color w:val="auto"/>
          <w:sz w:val="32"/>
          <w:szCs w:val="32"/>
        </w:rPr>
        <w:t>单位（人）</w:t>
      </w:r>
      <w:r>
        <w:rPr>
          <w:rFonts w:hint="default" w:eastAsia="仿宋_GB2312"/>
          <w:spacing w:val="0"/>
          <w:sz w:val="32"/>
          <w:szCs w:val="32"/>
          <w:lang w:val="en-US"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县（区）园林绿化主管部门应当公布管护责任清单，</w:t>
      </w:r>
      <w:r>
        <w:rPr>
          <w:rFonts w:hint="eastAsia" w:ascii="宋体" w:hAnsi="宋体" w:eastAsia="仿宋_GB2312"/>
          <w:strike w:val="0"/>
          <w:dstrike w:val="0"/>
          <w:color w:val="auto"/>
          <w:sz w:val="32"/>
          <w:szCs w:val="32"/>
          <w:shd w:val="clear" w:color="auto" w:fill="auto"/>
        </w:rPr>
        <w:t>并与管护责任单位（人）签订责任书，</w:t>
      </w:r>
      <w:r>
        <w:rPr>
          <w:rFonts w:hint="default" w:eastAsia="仿宋_GB2312"/>
          <w:spacing w:val="0"/>
          <w:sz w:val="32"/>
          <w:szCs w:val="32"/>
          <w:lang w:val="en-US" w:eastAsia="zh-CN"/>
        </w:rPr>
        <w:t>明确各方权利与义务。</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hAnsi="Times New Roman"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第十九条</w:t>
      </w:r>
      <w:r>
        <w:rPr>
          <w:rFonts w:hint="eastAsia" w:ascii="黑体" w:hAnsi="黑体" w:eastAsia="黑体" w:cs="黑体"/>
          <w:b w:val="0"/>
          <w:bCs w:val="0"/>
          <w:spacing w:val="0"/>
          <w:sz w:val="32"/>
          <w:szCs w:val="32"/>
          <w:lang w:val="en-US" w:eastAsia="zh-CN"/>
        </w:rPr>
        <w:t xml:space="preserve">  </w:t>
      </w:r>
      <w:r>
        <w:rPr>
          <w:rFonts w:hint="eastAsia" w:hAnsi="Times New Roman" w:eastAsia="仿宋_GB2312"/>
          <w:spacing w:val="0"/>
          <w:sz w:val="32"/>
          <w:szCs w:val="32"/>
          <w:lang w:val="en-US" w:eastAsia="zh-CN"/>
        </w:rPr>
        <w:t>市园林绿化主管部门应当组织制定园林绿化管理养护技术规范。</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园林绿化管护责任</w:t>
      </w:r>
      <w:r>
        <w:rPr>
          <w:rFonts w:hint="eastAsia" w:ascii="宋体" w:hAnsi="宋体" w:eastAsia="仿宋_GB2312"/>
          <w:color w:val="auto"/>
          <w:sz w:val="32"/>
          <w:szCs w:val="32"/>
        </w:rPr>
        <w:t>单位（人）</w:t>
      </w:r>
      <w:r>
        <w:rPr>
          <w:rFonts w:hint="default" w:eastAsia="仿宋_GB2312"/>
          <w:spacing w:val="0"/>
          <w:sz w:val="32"/>
          <w:szCs w:val="32"/>
          <w:lang w:val="en-US" w:eastAsia="zh-CN"/>
        </w:rPr>
        <w:t>应当</w:t>
      </w:r>
      <w:r>
        <w:rPr>
          <w:rFonts w:hint="eastAsia" w:eastAsia="仿宋_GB2312"/>
          <w:spacing w:val="0"/>
          <w:sz w:val="32"/>
          <w:szCs w:val="32"/>
          <w:lang w:val="en-US" w:eastAsia="zh-CN"/>
        </w:rPr>
        <w:t>按照技术规范</w:t>
      </w:r>
      <w:r>
        <w:rPr>
          <w:rFonts w:hint="default" w:eastAsia="仿宋_GB2312"/>
          <w:spacing w:val="0"/>
          <w:sz w:val="32"/>
          <w:szCs w:val="32"/>
          <w:lang w:val="en-US" w:eastAsia="zh-CN"/>
        </w:rPr>
        <w:t>履行下列管理养护职责：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（一）开展巡查，劝阻、制止损害园林绿化的行为；</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（二）补植和修复受损、死亡的树木花草；</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（三）及时防治病虫害；</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（四）及时修剪影响交通、管线、居住安全以及居民采光、通风的树木；</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（五）遇台风、暴雨、严寒等灾害性天气时，采取安全防范措施；</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（六）修复、更新受损的园林绿化设施；</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（七）法律、法规规定的其他管理养护职责。</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第二十条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任何单位和个人不得擅自占用现有园林绿地。因公共利益等特殊需要临时占用的，应当</w:t>
      </w:r>
      <w:r>
        <w:rPr>
          <w:rFonts w:hint="eastAsia" w:eastAsia="仿宋_GB2312"/>
          <w:spacing w:val="0"/>
          <w:sz w:val="32"/>
          <w:szCs w:val="32"/>
          <w:lang w:val="en-US" w:eastAsia="zh-CN"/>
        </w:rPr>
        <w:t>经</w:t>
      </w:r>
      <w:r>
        <w:rPr>
          <w:rFonts w:hint="default" w:eastAsia="仿宋_GB2312"/>
          <w:spacing w:val="0"/>
          <w:sz w:val="32"/>
          <w:szCs w:val="32"/>
          <w:lang w:val="en-US" w:eastAsia="zh-CN"/>
        </w:rPr>
        <w:t>园林绿化主管部门批准，按照批准的位置、面积和期限占用，并缴纳临时使用费。经批准临时占用的，应当在现场设立告示牌，向社会公示。</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临时占用园林绿地的期限不得超过一年；确需延长的，应当在期限届满十五日前向原审批部门申请延期，延长期限不得超过一年。临时占用期届满，占用单位应当在期满之日起一个月内恢复原状</w:t>
      </w:r>
      <w:r>
        <w:rPr>
          <w:rFonts w:hint="eastAsia" w:eastAsia="仿宋_GB2312"/>
          <w:spacing w:val="0"/>
          <w:sz w:val="32"/>
          <w:szCs w:val="32"/>
          <w:lang w:val="en-US" w:eastAsia="zh-CN"/>
        </w:rPr>
        <w:t>；</w:t>
      </w:r>
      <w:r>
        <w:rPr>
          <w:rFonts w:hint="default" w:eastAsia="仿宋_GB2312"/>
          <w:spacing w:val="0"/>
          <w:sz w:val="32"/>
          <w:szCs w:val="32"/>
          <w:lang w:val="en-US" w:eastAsia="zh-CN"/>
        </w:rPr>
        <w:t>未恢复原状的，视为擅自占用。</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第二十一条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任何单位和个人不得擅自砍伐、移植树木。</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因下列特殊情形确需砍伐、移植树木的，应当经园林绿化主管部门依法批准：</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（一）工程建设无法避让的；</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（二）对人身安全、交通安全或者其他设施安全构成威胁的；</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（三）树木已经死亡的；</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（四）发生检疫性病虫害或者其他严重病虫害的；</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（五）法律、法规规定的其他情形。</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因</w:t>
      </w:r>
      <w:r>
        <w:rPr>
          <w:rFonts w:hint="eastAsia" w:eastAsia="仿宋_GB2312"/>
          <w:spacing w:val="0"/>
          <w:sz w:val="32"/>
          <w:szCs w:val="32"/>
          <w:lang w:val="en-US" w:eastAsia="zh-CN"/>
        </w:rPr>
        <w:t>抢险救灾</w:t>
      </w:r>
      <w:r>
        <w:rPr>
          <w:rFonts w:hint="default" w:eastAsia="仿宋_GB2312"/>
          <w:spacing w:val="0"/>
          <w:sz w:val="32"/>
          <w:szCs w:val="32"/>
          <w:lang w:val="en-US" w:eastAsia="zh-CN"/>
        </w:rPr>
        <w:t>等紧急情况，有关单位可以根据险情先行砍伐、</w:t>
      </w:r>
      <w:r>
        <w:rPr>
          <w:rFonts w:hint="eastAsia" w:ascii="仿宋_GB2312" w:hAnsi="仿宋_GB2312" w:eastAsia="仿宋_GB2312" w:cs="仿宋_GB2312"/>
          <w:spacing w:val="-6"/>
          <w:sz w:val="32"/>
          <w:szCs w:val="32"/>
          <w:lang w:val="en-US" w:eastAsia="zh-CN"/>
        </w:rPr>
        <w:t>移植树木（不含古树名木），但事后三个工作日内应当向园林绿化主管部门补办有关手续,并及时通知园林绿化管护责任</w:t>
      </w:r>
      <w:r>
        <w:rPr>
          <w:rFonts w:hint="eastAsia" w:ascii="仿宋_GB2312" w:hAnsi="仿宋_GB2312" w:eastAsia="仿宋_GB2312" w:cs="仿宋_GB2312"/>
          <w:strike w:val="0"/>
          <w:dstrike w:val="0"/>
          <w:color w:val="auto"/>
          <w:spacing w:val="-6"/>
          <w:sz w:val="32"/>
          <w:szCs w:val="32"/>
          <w:shd w:val="clear" w:color="auto" w:fill="auto"/>
        </w:rPr>
        <w:t>单位（人）</w:t>
      </w:r>
      <w:r>
        <w:rPr>
          <w:rFonts w:hint="eastAsia" w:ascii="仿宋_GB2312" w:hAnsi="仿宋_GB2312" w:eastAsia="仿宋_GB2312" w:cs="仿宋_GB2312"/>
          <w:spacing w:val="-6"/>
          <w:sz w:val="32"/>
          <w:szCs w:val="32"/>
          <w:lang w:val="en-US"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第二十二条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修剪树木应当兼顾设施安全和树木正常生长</w:t>
      </w:r>
      <w:r>
        <w:rPr>
          <w:rFonts w:hint="eastAsia" w:eastAsia="仿宋_GB2312"/>
          <w:spacing w:val="0"/>
          <w:sz w:val="32"/>
          <w:szCs w:val="32"/>
          <w:lang w:val="en-US" w:eastAsia="zh-CN"/>
        </w:rPr>
        <w:t>需要</w:t>
      </w:r>
      <w:r>
        <w:rPr>
          <w:rFonts w:hint="default" w:eastAsia="仿宋_GB2312"/>
          <w:spacing w:val="0"/>
          <w:sz w:val="32"/>
          <w:szCs w:val="32"/>
          <w:lang w:val="en-US" w:eastAsia="zh-CN"/>
        </w:rPr>
        <w:t>，并严格按照有关技术规范进行。</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因设置交通</w:t>
      </w:r>
      <w:r>
        <w:rPr>
          <w:rFonts w:hint="eastAsia" w:eastAsia="仿宋_GB2312"/>
          <w:spacing w:val="0"/>
          <w:sz w:val="32"/>
          <w:szCs w:val="32"/>
          <w:lang w:val="en-US" w:eastAsia="zh-CN"/>
        </w:rPr>
        <w:t>安全设施</w:t>
      </w:r>
      <w:r>
        <w:rPr>
          <w:rFonts w:hint="default" w:eastAsia="仿宋_GB2312"/>
          <w:spacing w:val="0"/>
          <w:sz w:val="32"/>
          <w:szCs w:val="32"/>
          <w:lang w:val="en-US" w:eastAsia="zh-CN"/>
        </w:rPr>
        <w:t>、管道（线）建设、道路挖掘以及其他市政</w:t>
      </w:r>
      <w:r>
        <w:rPr>
          <w:rFonts w:hint="eastAsia" w:eastAsia="仿宋_GB2312"/>
          <w:spacing w:val="0"/>
          <w:sz w:val="32"/>
          <w:szCs w:val="32"/>
          <w:lang w:val="en-US" w:eastAsia="zh-CN"/>
        </w:rPr>
        <w:t>工程建设</w:t>
      </w:r>
      <w:r>
        <w:rPr>
          <w:rFonts w:hint="default" w:eastAsia="仿宋_GB2312"/>
          <w:spacing w:val="0"/>
          <w:sz w:val="32"/>
          <w:szCs w:val="32"/>
          <w:lang w:val="en-US" w:eastAsia="zh-CN"/>
        </w:rPr>
        <w:t>需要修剪树木或者</w:t>
      </w:r>
      <w:r>
        <w:rPr>
          <w:rFonts w:hint="eastAsia" w:eastAsia="仿宋_GB2312"/>
          <w:spacing w:val="0"/>
          <w:sz w:val="32"/>
          <w:szCs w:val="32"/>
          <w:lang w:val="en-US" w:eastAsia="zh-CN"/>
        </w:rPr>
        <w:t>日常管理养护中</w:t>
      </w:r>
      <w:r>
        <w:rPr>
          <w:rFonts w:hint="default" w:eastAsia="仿宋_GB2312"/>
          <w:spacing w:val="0"/>
          <w:sz w:val="32"/>
          <w:szCs w:val="32"/>
          <w:lang w:val="en-US" w:eastAsia="zh-CN"/>
        </w:rPr>
        <w:t>需要重度修剪的，</w:t>
      </w:r>
      <w:r>
        <w:rPr>
          <w:rFonts w:hint="eastAsia" w:eastAsia="仿宋_GB2312"/>
          <w:spacing w:val="0"/>
          <w:sz w:val="32"/>
          <w:szCs w:val="32"/>
          <w:lang w:val="en-US" w:eastAsia="zh-CN"/>
        </w:rPr>
        <w:t>工程建设单位、管护责任单位（人）</w:t>
      </w:r>
      <w:r>
        <w:rPr>
          <w:rFonts w:hint="default" w:eastAsia="仿宋_GB2312"/>
          <w:spacing w:val="0"/>
          <w:sz w:val="32"/>
          <w:szCs w:val="32"/>
          <w:lang w:val="en-US" w:eastAsia="zh-CN"/>
        </w:rPr>
        <w:t>应当制定修剪方案报县（区）园林绿化主管部门，并按方案实施修剪。</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第二十三条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县（区）人民政府应当组织开展本行政区域荔枝林资源普查工作，划定荔枝林保护边界，对</w:t>
      </w:r>
      <w:r>
        <w:rPr>
          <w:rFonts w:hint="eastAsia" w:eastAsia="仿宋_GB2312"/>
          <w:spacing w:val="0"/>
          <w:sz w:val="32"/>
          <w:szCs w:val="32"/>
          <w:lang w:val="en-US" w:eastAsia="zh-CN"/>
        </w:rPr>
        <w:t>河岸</w:t>
      </w:r>
      <w:r>
        <w:rPr>
          <w:rFonts w:hint="default" w:eastAsia="仿宋_GB2312"/>
          <w:spacing w:val="0"/>
          <w:sz w:val="32"/>
          <w:szCs w:val="32"/>
          <w:lang w:val="en-US" w:eastAsia="zh-CN"/>
        </w:rPr>
        <w:t>断带荔枝林采取补植措施，维护荔枝林岸线的生态功能。</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荔枝林周边规划建设项目实施边界规划退距管理，除园林建筑物、构筑物以外，新建、改建、扩建地上建筑物、构筑物和地下室应当退距荔枝林保护边界十米以上。</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第二十四条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古树名木依照</w:t>
      </w:r>
      <w:r>
        <w:rPr>
          <w:rFonts w:hint="eastAsia" w:eastAsia="仿宋_GB2312"/>
          <w:spacing w:val="0"/>
          <w:sz w:val="32"/>
          <w:szCs w:val="32"/>
          <w:lang w:val="en-US" w:eastAsia="zh-CN"/>
        </w:rPr>
        <w:t>国家和</w:t>
      </w:r>
      <w:r>
        <w:rPr>
          <w:rFonts w:hint="default" w:eastAsia="仿宋_GB2312"/>
          <w:spacing w:val="0"/>
          <w:sz w:val="32"/>
          <w:szCs w:val="32"/>
          <w:lang w:val="en-US" w:eastAsia="zh-CN"/>
        </w:rPr>
        <w:t>省有关规定</w:t>
      </w:r>
      <w:r>
        <w:rPr>
          <w:rFonts w:hint="eastAsia" w:eastAsia="仿宋_GB2312"/>
          <w:spacing w:val="0"/>
          <w:sz w:val="32"/>
          <w:szCs w:val="32"/>
          <w:lang w:val="en-US" w:eastAsia="zh-CN"/>
        </w:rPr>
        <w:t>予以认定</w:t>
      </w:r>
      <w:r>
        <w:rPr>
          <w:rFonts w:hint="default" w:eastAsia="仿宋_GB2312"/>
          <w:spacing w:val="0"/>
          <w:sz w:val="32"/>
          <w:szCs w:val="32"/>
          <w:lang w:val="en-US"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县（区）林业、园林绿化主管部门应当</w:t>
      </w:r>
      <w:r>
        <w:rPr>
          <w:rFonts w:hint="eastAsia" w:eastAsia="仿宋_GB2312"/>
          <w:spacing w:val="0"/>
          <w:sz w:val="32"/>
          <w:szCs w:val="32"/>
          <w:lang w:val="en-US" w:eastAsia="zh-CN"/>
        </w:rPr>
        <w:t>履行</w:t>
      </w:r>
      <w:r>
        <w:rPr>
          <w:rFonts w:hint="default" w:eastAsia="仿宋_GB2312"/>
          <w:spacing w:val="0"/>
          <w:sz w:val="32"/>
          <w:szCs w:val="32"/>
          <w:lang w:val="en-US" w:eastAsia="zh-CN"/>
        </w:rPr>
        <w:t>本行政区域古树名木保护管理</w:t>
      </w:r>
      <w:r>
        <w:rPr>
          <w:rFonts w:hint="eastAsia" w:eastAsia="仿宋_GB2312"/>
          <w:spacing w:val="0"/>
          <w:sz w:val="32"/>
          <w:szCs w:val="32"/>
          <w:lang w:val="en-US" w:eastAsia="zh-CN"/>
        </w:rPr>
        <w:t>职责</w:t>
      </w:r>
      <w:r>
        <w:rPr>
          <w:rFonts w:hint="default" w:eastAsia="仿宋_GB2312"/>
          <w:spacing w:val="0"/>
          <w:sz w:val="32"/>
          <w:szCs w:val="32"/>
          <w:lang w:val="en-US" w:eastAsia="zh-CN"/>
        </w:rPr>
        <w:t>，并在古树名木认定后一个月内依照有关规定确定本行政区域古树名木管护责任</w:t>
      </w:r>
      <w:r>
        <w:rPr>
          <w:rFonts w:hint="eastAsia" w:hAnsi="Times New Roman" w:eastAsia="仿宋_GB2312"/>
          <w:spacing w:val="0"/>
          <w:sz w:val="32"/>
          <w:szCs w:val="32"/>
          <w:lang w:val="en-US" w:eastAsia="zh-CN"/>
        </w:rPr>
        <w:t>单位（</w:t>
      </w:r>
      <w:r>
        <w:rPr>
          <w:rFonts w:hint="default" w:hAnsi="Times New Roman" w:eastAsia="仿宋_GB2312"/>
          <w:spacing w:val="0"/>
          <w:sz w:val="32"/>
          <w:szCs w:val="32"/>
          <w:lang w:val="en-US" w:eastAsia="zh-CN"/>
        </w:rPr>
        <w:t>人</w:t>
      </w:r>
      <w:r>
        <w:rPr>
          <w:rFonts w:hint="eastAsia" w:hAnsi="Times New Roman" w:eastAsia="仿宋_GB2312"/>
          <w:spacing w:val="0"/>
          <w:sz w:val="32"/>
          <w:szCs w:val="32"/>
          <w:lang w:val="en-US" w:eastAsia="zh-CN"/>
        </w:rPr>
        <w:t>）</w:t>
      </w:r>
      <w:r>
        <w:rPr>
          <w:rFonts w:hint="default" w:eastAsia="仿宋_GB2312"/>
          <w:spacing w:val="0"/>
          <w:sz w:val="32"/>
          <w:szCs w:val="32"/>
          <w:lang w:val="en-US" w:eastAsia="zh-CN"/>
        </w:rPr>
        <w:t>，与古树名木所在地乡（镇）人民政府、街道办事处、管护责任</w:t>
      </w:r>
      <w:r>
        <w:rPr>
          <w:rFonts w:hint="eastAsia" w:hAnsi="Times New Roman" w:eastAsia="仿宋_GB2312"/>
          <w:spacing w:val="0"/>
          <w:sz w:val="32"/>
          <w:szCs w:val="32"/>
          <w:lang w:val="en-US" w:eastAsia="zh-CN"/>
        </w:rPr>
        <w:t>单位（</w:t>
      </w:r>
      <w:r>
        <w:rPr>
          <w:rFonts w:hint="default" w:hAnsi="Times New Roman" w:eastAsia="仿宋_GB2312"/>
          <w:spacing w:val="0"/>
          <w:sz w:val="32"/>
          <w:szCs w:val="32"/>
          <w:lang w:val="en-US" w:eastAsia="zh-CN"/>
        </w:rPr>
        <w:t>人</w:t>
      </w:r>
      <w:r>
        <w:rPr>
          <w:rFonts w:hint="eastAsia" w:hAnsi="Times New Roman" w:eastAsia="仿宋_GB2312"/>
          <w:spacing w:val="0"/>
          <w:sz w:val="32"/>
          <w:szCs w:val="32"/>
          <w:lang w:val="en-US" w:eastAsia="zh-CN"/>
        </w:rPr>
        <w:t>）</w:t>
      </w:r>
      <w:r>
        <w:rPr>
          <w:rFonts w:hint="default" w:eastAsia="仿宋_GB2312"/>
          <w:spacing w:val="0"/>
          <w:sz w:val="32"/>
          <w:szCs w:val="32"/>
          <w:lang w:val="en-US" w:eastAsia="zh-CN"/>
        </w:rPr>
        <w:t>分级签订管护责任书，明确各方权利与义务。</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第二十五条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禁止下列破坏城市园林绿化的行为：</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（一）采摘花果、攀树折枝；</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（二）以树承重，就树搭盖、牵绳挂物；</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（三）在树木上刻划、钉钉、张贴；</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（四）剥损树皮、损伤树根，在树木根部封砌、封固地面，灌注</w:t>
      </w:r>
      <w:r>
        <w:rPr>
          <w:rFonts w:hint="eastAsia" w:eastAsia="仿宋_GB2312"/>
          <w:spacing w:val="0"/>
          <w:sz w:val="32"/>
          <w:szCs w:val="32"/>
          <w:lang w:val="en-US" w:eastAsia="zh-CN"/>
        </w:rPr>
        <w:t>损伤树木或者</w:t>
      </w:r>
      <w:r>
        <w:rPr>
          <w:rFonts w:hint="default" w:eastAsia="仿宋_GB2312"/>
          <w:spacing w:val="0"/>
          <w:sz w:val="32"/>
          <w:szCs w:val="32"/>
          <w:lang w:val="en-US" w:eastAsia="zh-CN"/>
        </w:rPr>
        <w:t>影响树木正常生长的物质；</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（五）在园林绿地内摆摊设点、违章停放机动车、堆放物品，踩踏设有禁止进入标志的绿地；</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（六）在园林绿地内挖坑、取土，倾倒垃圾、污水；</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w:t>
      </w:r>
      <w:r>
        <w:rPr>
          <w:rFonts w:hint="eastAsia" w:eastAsia="仿宋_GB2312"/>
          <w:spacing w:val="0"/>
          <w:sz w:val="32"/>
          <w:szCs w:val="32"/>
          <w:lang w:val="en-US" w:eastAsia="zh-CN"/>
        </w:rPr>
        <w:t>七</w:t>
      </w:r>
      <w:r>
        <w:rPr>
          <w:rFonts w:hint="default" w:eastAsia="仿宋_GB2312"/>
          <w:spacing w:val="0"/>
          <w:sz w:val="32"/>
          <w:szCs w:val="32"/>
          <w:lang w:val="en-US" w:eastAsia="zh-CN"/>
        </w:rPr>
        <w:t>）在园林绿地内种植农作物，养殖</w:t>
      </w:r>
      <w:r>
        <w:rPr>
          <w:rFonts w:hint="eastAsia" w:eastAsia="仿宋_GB2312"/>
          <w:spacing w:val="0"/>
          <w:sz w:val="32"/>
          <w:szCs w:val="32"/>
          <w:lang w:val="en-US" w:eastAsia="zh-CN"/>
        </w:rPr>
        <w:t>畜禽</w:t>
      </w:r>
      <w:r>
        <w:rPr>
          <w:rFonts w:hint="default" w:eastAsia="仿宋_GB2312"/>
          <w:spacing w:val="0"/>
          <w:sz w:val="32"/>
          <w:szCs w:val="32"/>
          <w:lang w:val="en-US"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w:t>
      </w:r>
      <w:r>
        <w:rPr>
          <w:rFonts w:hint="eastAsia" w:eastAsia="仿宋_GB2312"/>
          <w:spacing w:val="0"/>
          <w:sz w:val="32"/>
          <w:szCs w:val="32"/>
          <w:lang w:val="en-US" w:eastAsia="zh-CN"/>
        </w:rPr>
        <w:t>八</w:t>
      </w:r>
      <w:r>
        <w:rPr>
          <w:rFonts w:hint="default" w:eastAsia="仿宋_GB2312"/>
          <w:spacing w:val="0"/>
          <w:sz w:val="32"/>
          <w:szCs w:val="32"/>
          <w:lang w:val="en-US" w:eastAsia="zh-CN"/>
        </w:rPr>
        <w:t>）损毁园林绿化设施；</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w:t>
      </w:r>
      <w:r>
        <w:rPr>
          <w:rFonts w:hint="eastAsia" w:eastAsia="仿宋_GB2312"/>
          <w:spacing w:val="0"/>
          <w:sz w:val="32"/>
          <w:szCs w:val="32"/>
          <w:lang w:val="en-US" w:eastAsia="zh-CN"/>
        </w:rPr>
        <w:t>九</w:t>
      </w:r>
      <w:r>
        <w:rPr>
          <w:rFonts w:hint="default" w:eastAsia="仿宋_GB2312"/>
          <w:spacing w:val="0"/>
          <w:sz w:val="32"/>
          <w:szCs w:val="32"/>
          <w:lang w:val="en-US" w:eastAsia="zh-CN"/>
        </w:rPr>
        <w:t>）其他破坏城市园林绿化的行为。</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第二十六条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园林绿化主管部门应当会同有关部门加强对</w:t>
      </w:r>
      <w:r>
        <w:rPr>
          <w:rFonts w:hint="eastAsia" w:eastAsia="仿宋_GB2312"/>
          <w:spacing w:val="0"/>
          <w:sz w:val="32"/>
          <w:szCs w:val="32"/>
          <w:lang w:val="en-US" w:eastAsia="zh-CN"/>
        </w:rPr>
        <w:t>园林绿地</w:t>
      </w:r>
      <w:r>
        <w:rPr>
          <w:rFonts w:hint="default" w:eastAsia="仿宋_GB2312"/>
          <w:spacing w:val="0"/>
          <w:sz w:val="32"/>
          <w:szCs w:val="32"/>
          <w:lang w:val="en-US" w:eastAsia="zh-CN"/>
        </w:rPr>
        <w:t>树木花草病虫害的调查与监测，推广生物防治，编制应</w:t>
      </w:r>
      <w:r>
        <w:rPr>
          <w:rFonts w:hint="default" w:eastAsia="仿宋_GB2312"/>
          <w:spacing w:val="-17"/>
          <w:sz w:val="32"/>
          <w:szCs w:val="32"/>
          <w:lang w:val="en-US" w:eastAsia="zh-CN"/>
        </w:rPr>
        <w:t>急处置预案，做好植物病虫害以及其他自然灾害防治的监督管理工作。</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640" w:firstLineChars="200"/>
        <w:textAlignment w:val="auto"/>
        <w:rPr>
          <w:rFonts w:hint="default" w:hAnsi="Times New Roman"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第二十七条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市、县（区）人民政府应当建立城市园林绿化日常管理和行政执法衔接</w:t>
      </w:r>
      <w:r>
        <w:rPr>
          <w:rFonts w:hint="default" w:hAnsi="Times New Roman" w:eastAsia="仿宋_GB2312"/>
          <w:spacing w:val="0"/>
          <w:sz w:val="32"/>
          <w:szCs w:val="32"/>
          <w:lang w:val="en-US" w:eastAsia="zh-CN"/>
        </w:rPr>
        <w:t>机制，</w:t>
      </w:r>
      <w:r>
        <w:rPr>
          <w:rFonts w:hint="eastAsia" w:hAnsi="Times New Roman" w:eastAsia="仿宋_GB2312"/>
          <w:spacing w:val="0"/>
          <w:sz w:val="32"/>
          <w:szCs w:val="32"/>
          <w:lang w:val="en-US" w:eastAsia="zh-CN"/>
        </w:rPr>
        <w:t>通过</w:t>
      </w:r>
      <w:r>
        <w:rPr>
          <w:rFonts w:hint="default" w:hAnsi="Times New Roman" w:eastAsia="仿宋_GB2312"/>
          <w:spacing w:val="0"/>
          <w:sz w:val="32"/>
          <w:szCs w:val="32"/>
          <w:lang w:val="en-US" w:eastAsia="zh-CN"/>
        </w:rPr>
        <w:t>日常巡查、随机抽查等方式</w:t>
      </w:r>
      <w:r>
        <w:rPr>
          <w:rFonts w:hint="default" w:hAnsi="Times New Roman" w:eastAsia="仿宋_GB2312"/>
          <w:spacing w:val="-6"/>
          <w:sz w:val="32"/>
          <w:szCs w:val="32"/>
          <w:lang w:val="en-US" w:eastAsia="zh-CN"/>
        </w:rPr>
        <w:t>加强监督管理，对发现的违法行为应当</w:t>
      </w:r>
      <w:r>
        <w:rPr>
          <w:rFonts w:hint="eastAsia" w:hAnsi="Times New Roman" w:eastAsia="仿宋_GB2312"/>
          <w:spacing w:val="-6"/>
          <w:sz w:val="32"/>
          <w:szCs w:val="32"/>
          <w:lang w:val="en-US" w:eastAsia="zh-CN"/>
        </w:rPr>
        <w:t>及时移交线索并</w:t>
      </w:r>
      <w:r>
        <w:rPr>
          <w:rFonts w:hint="default" w:hAnsi="Times New Roman" w:eastAsia="仿宋_GB2312"/>
          <w:spacing w:val="-6"/>
          <w:sz w:val="32"/>
          <w:szCs w:val="32"/>
          <w:lang w:val="en-US" w:eastAsia="zh-CN"/>
        </w:rPr>
        <w:t>依法查处。</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hAnsi="Times New Roman" w:eastAsia="仿宋_GB2312"/>
          <w:spacing w:val="0"/>
          <w:sz w:val="32"/>
          <w:szCs w:val="32"/>
          <w:lang w:val="en-US" w:eastAsia="zh-CN"/>
        </w:rPr>
        <w:t>市园林绿化主管部门应当</w:t>
      </w:r>
      <w:r>
        <w:rPr>
          <w:rFonts w:hint="eastAsia" w:hAnsi="Times New Roman" w:eastAsia="仿宋_GB2312"/>
          <w:spacing w:val="0"/>
          <w:sz w:val="32"/>
          <w:szCs w:val="32"/>
          <w:lang w:val="en-US" w:eastAsia="zh-CN"/>
        </w:rPr>
        <w:t>建立园林绿化信息系统，</w:t>
      </w:r>
      <w:r>
        <w:rPr>
          <w:rFonts w:hint="default" w:hAnsi="Times New Roman" w:eastAsia="仿宋_GB2312"/>
          <w:spacing w:val="0"/>
          <w:sz w:val="32"/>
          <w:szCs w:val="32"/>
          <w:lang w:val="en-US" w:eastAsia="zh-CN"/>
        </w:rPr>
        <w:t>制定分级管理清单，明确临时占用园林绿地、砍伐移植树木、修剪树木等</w:t>
      </w:r>
      <w:r>
        <w:rPr>
          <w:rFonts w:hint="default" w:eastAsia="仿宋_GB2312"/>
          <w:spacing w:val="0"/>
          <w:sz w:val="32"/>
          <w:szCs w:val="32"/>
          <w:lang w:val="en-US" w:eastAsia="zh-CN"/>
        </w:rPr>
        <w:t>事项的管理层级。</w:t>
      </w:r>
    </w:p>
    <w:p>
      <w:pPr>
        <w:keepNext w:val="0"/>
        <w:keepLines w:val="0"/>
        <w:pageBreakBefore w:val="0"/>
        <w:widowControl w:val="0"/>
        <w:kinsoku/>
        <w:wordWrap/>
        <w:overflowPunct/>
        <w:topLinePunct w:val="0"/>
        <w:autoSpaceDE/>
        <w:autoSpaceDN/>
        <w:bidi w:val="0"/>
        <w:adjustRightInd/>
        <w:snapToGrid/>
        <w:spacing w:before="220" w:beforeLines="50" w:after="220" w:afterLines="50" w:line="500" w:lineRule="exact"/>
        <w:jc w:val="center"/>
        <w:textAlignment w:val="auto"/>
        <w:rPr>
          <w:rFonts w:hint="eastAsia" w:ascii="黑体" w:hAnsi="黑体" w:eastAsia="黑体" w:cs="黑体"/>
          <w:color w:val="auto"/>
          <w:spacing w:val="0"/>
          <w:sz w:val="32"/>
          <w:szCs w:val="32"/>
          <w:lang w:val="en-US" w:eastAsia="zh-CN"/>
        </w:rPr>
      </w:pPr>
      <w:r>
        <w:rPr>
          <w:rFonts w:hint="eastAsia" w:ascii="黑体" w:hAnsi="黑体" w:eastAsia="黑体" w:cs="黑体"/>
          <w:color w:val="auto"/>
          <w:spacing w:val="0"/>
          <w:sz w:val="32"/>
          <w:szCs w:val="32"/>
          <w:lang w:eastAsia="zh-CN"/>
        </w:rPr>
        <w:t>第四章</w:t>
      </w:r>
      <w:r>
        <w:rPr>
          <w:rFonts w:hint="eastAsia" w:ascii="黑体" w:hAnsi="黑体" w:eastAsia="黑体" w:cs="黑体"/>
          <w:color w:val="auto"/>
          <w:spacing w:val="0"/>
          <w:sz w:val="32"/>
          <w:szCs w:val="32"/>
          <w:lang w:val="en-US" w:eastAsia="zh-CN"/>
        </w:rPr>
        <w:t xml:space="preserve">  法律责任</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第二十</w:t>
      </w:r>
      <w:r>
        <w:rPr>
          <w:rFonts w:hint="eastAsia" w:ascii="黑体" w:hAnsi="黑体" w:eastAsia="黑体" w:cs="黑体"/>
          <w:b w:val="0"/>
          <w:bCs w:val="0"/>
          <w:spacing w:val="0"/>
          <w:sz w:val="32"/>
          <w:szCs w:val="32"/>
          <w:lang w:val="en-US" w:eastAsia="zh-CN"/>
        </w:rPr>
        <w:t>八</w:t>
      </w:r>
      <w:r>
        <w:rPr>
          <w:rFonts w:hint="default" w:ascii="黑体" w:hAnsi="黑体" w:eastAsia="黑体" w:cs="黑体"/>
          <w:b w:val="0"/>
          <w:bCs w:val="0"/>
          <w:spacing w:val="0"/>
          <w:sz w:val="32"/>
          <w:szCs w:val="32"/>
          <w:lang w:val="en-US" w:eastAsia="zh-CN"/>
        </w:rPr>
        <w:t>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违反本条例规定的行为，法律、法规已有法律责任规定的，从其规定。</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第二十</w:t>
      </w:r>
      <w:r>
        <w:rPr>
          <w:rFonts w:hint="eastAsia" w:ascii="黑体" w:hAnsi="黑体" w:eastAsia="黑体" w:cs="黑体"/>
          <w:b w:val="0"/>
          <w:bCs w:val="0"/>
          <w:spacing w:val="0"/>
          <w:sz w:val="32"/>
          <w:szCs w:val="32"/>
          <w:lang w:val="en-US" w:eastAsia="zh-CN"/>
        </w:rPr>
        <w:t>九</w:t>
      </w:r>
      <w:r>
        <w:rPr>
          <w:rFonts w:hint="default" w:ascii="黑体" w:hAnsi="黑体" w:eastAsia="黑体" w:cs="黑体"/>
          <w:b w:val="0"/>
          <w:bCs w:val="0"/>
          <w:spacing w:val="0"/>
          <w:sz w:val="32"/>
          <w:szCs w:val="32"/>
          <w:lang w:val="en-US" w:eastAsia="zh-CN"/>
        </w:rPr>
        <w:t>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违反本条例第十五条第</w:t>
      </w:r>
      <w:r>
        <w:rPr>
          <w:rFonts w:hint="eastAsia" w:eastAsia="仿宋_GB2312"/>
          <w:spacing w:val="0"/>
          <w:sz w:val="32"/>
          <w:szCs w:val="32"/>
          <w:lang w:val="en-US" w:eastAsia="zh-CN"/>
        </w:rPr>
        <w:t>四</w:t>
      </w:r>
      <w:r>
        <w:rPr>
          <w:rFonts w:hint="default" w:eastAsia="仿宋_GB2312"/>
          <w:spacing w:val="0"/>
          <w:sz w:val="32"/>
          <w:szCs w:val="32"/>
          <w:lang w:val="en-US" w:eastAsia="zh-CN"/>
        </w:rPr>
        <w:t>款规定，建设单位未在建设项目所在地的显著位置设立告示牌公示园林绿地平面图或者公示的园林绿地平面图不符合要求的，由</w:t>
      </w:r>
      <w:r>
        <w:rPr>
          <w:rFonts w:hint="eastAsia" w:eastAsia="仿宋_GB2312"/>
          <w:spacing w:val="0"/>
          <w:sz w:val="32"/>
          <w:szCs w:val="32"/>
          <w:lang w:val="en-US" w:eastAsia="zh-CN"/>
        </w:rPr>
        <w:t>园林绿化</w:t>
      </w:r>
      <w:r>
        <w:rPr>
          <w:rFonts w:hint="default" w:eastAsia="仿宋_GB2312"/>
          <w:spacing w:val="0"/>
          <w:sz w:val="32"/>
          <w:szCs w:val="32"/>
          <w:lang w:val="en-US" w:eastAsia="zh-CN"/>
        </w:rPr>
        <w:t>主管部门责令限期改正；逾期未改正的，处以五千元罚款。</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w:t>
      </w:r>
      <w:r>
        <w:rPr>
          <w:rFonts w:hint="eastAsia" w:ascii="黑体" w:hAnsi="黑体" w:eastAsia="黑体" w:cs="黑体"/>
          <w:b w:val="0"/>
          <w:bCs w:val="0"/>
          <w:spacing w:val="0"/>
          <w:sz w:val="32"/>
          <w:szCs w:val="32"/>
          <w:lang w:val="en-US" w:eastAsia="zh-CN"/>
        </w:rPr>
        <w:t>三十</w:t>
      </w:r>
      <w:r>
        <w:rPr>
          <w:rFonts w:hint="default" w:ascii="黑体" w:hAnsi="黑体" w:eastAsia="黑体" w:cs="黑体"/>
          <w:b w:val="0"/>
          <w:bCs w:val="0"/>
          <w:spacing w:val="0"/>
          <w:sz w:val="32"/>
          <w:szCs w:val="32"/>
          <w:lang w:val="en-US" w:eastAsia="zh-CN"/>
        </w:rPr>
        <w:t>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违反本条例第十九条</w:t>
      </w:r>
      <w:r>
        <w:rPr>
          <w:rFonts w:hint="eastAsia" w:eastAsia="仿宋_GB2312"/>
          <w:spacing w:val="0"/>
          <w:sz w:val="32"/>
          <w:szCs w:val="32"/>
          <w:lang w:val="en-US" w:eastAsia="zh-CN"/>
        </w:rPr>
        <w:t>第二款</w:t>
      </w:r>
      <w:r>
        <w:rPr>
          <w:rFonts w:hint="default" w:eastAsia="仿宋_GB2312"/>
          <w:spacing w:val="0"/>
          <w:sz w:val="32"/>
          <w:szCs w:val="32"/>
          <w:lang w:val="en-US" w:eastAsia="zh-CN"/>
        </w:rPr>
        <w:t>规定，管护责任</w:t>
      </w:r>
      <w:r>
        <w:rPr>
          <w:rFonts w:hint="eastAsia" w:hAnsi="Times New Roman" w:eastAsia="仿宋_GB2312"/>
          <w:spacing w:val="0"/>
          <w:sz w:val="32"/>
          <w:szCs w:val="32"/>
          <w:lang w:val="en-US" w:eastAsia="zh-CN"/>
        </w:rPr>
        <w:t>单位（</w:t>
      </w:r>
      <w:r>
        <w:rPr>
          <w:rFonts w:hint="default" w:hAnsi="Times New Roman" w:eastAsia="仿宋_GB2312"/>
          <w:spacing w:val="0"/>
          <w:sz w:val="32"/>
          <w:szCs w:val="32"/>
          <w:lang w:val="en-US" w:eastAsia="zh-CN"/>
        </w:rPr>
        <w:t>人</w:t>
      </w:r>
      <w:r>
        <w:rPr>
          <w:rFonts w:hint="eastAsia" w:hAnsi="Times New Roman" w:eastAsia="仿宋_GB2312"/>
          <w:spacing w:val="0"/>
          <w:sz w:val="32"/>
          <w:szCs w:val="32"/>
          <w:lang w:val="en-US" w:eastAsia="zh-CN"/>
        </w:rPr>
        <w:t>）</w:t>
      </w:r>
      <w:r>
        <w:rPr>
          <w:rFonts w:hint="default" w:eastAsia="仿宋_GB2312"/>
          <w:spacing w:val="0"/>
          <w:sz w:val="32"/>
          <w:szCs w:val="32"/>
          <w:lang w:val="en-US" w:eastAsia="zh-CN"/>
        </w:rPr>
        <w:t>未履行管理养护责任的，由</w:t>
      </w:r>
      <w:r>
        <w:rPr>
          <w:rFonts w:hint="eastAsia" w:eastAsia="仿宋_GB2312"/>
          <w:spacing w:val="0"/>
          <w:sz w:val="32"/>
          <w:szCs w:val="32"/>
          <w:lang w:val="en-US" w:eastAsia="zh-CN"/>
        </w:rPr>
        <w:t>城市管理</w:t>
      </w:r>
      <w:r>
        <w:rPr>
          <w:rFonts w:hint="default" w:eastAsia="仿宋_GB2312"/>
          <w:spacing w:val="0"/>
          <w:sz w:val="32"/>
          <w:szCs w:val="32"/>
          <w:lang w:val="en-US" w:eastAsia="zh-CN"/>
        </w:rPr>
        <w:t>主管部门责令限期改正；逾期未改正的，处以二千元以上一万元以下罚款。</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第三十</w:t>
      </w:r>
      <w:r>
        <w:rPr>
          <w:rFonts w:hint="eastAsia" w:ascii="黑体" w:hAnsi="黑体" w:eastAsia="黑体" w:cs="黑体"/>
          <w:b w:val="0"/>
          <w:bCs w:val="0"/>
          <w:spacing w:val="0"/>
          <w:sz w:val="32"/>
          <w:szCs w:val="32"/>
          <w:lang w:val="en-US" w:eastAsia="zh-CN"/>
        </w:rPr>
        <w:t>一</w:t>
      </w:r>
      <w:r>
        <w:rPr>
          <w:rFonts w:hint="default" w:ascii="黑体" w:hAnsi="黑体" w:eastAsia="黑体" w:cs="黑体"/>
          <w:b w:val="0"/>
          <w:bCs w:val="0"/>
          <w:spacing w:val="0"/>
          <w:sz w:val="32"/>
          <w:szCs w:val="32"/>
          <w:lang w:val="en-US" w:eastAsia="zh-CN"/>
        </w:rPr>
        <w:t>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违反本条例第二十条规定，擅自占用或者超出批准的位置、面积和期限占用园林绿地的，由</w:t>
      </w:r>
      <w:r>
        <w:rPr>
          <w:rFonts w:hint="eastAsia" w:eastAsia="仿宋_GB2312"/>
          <w:spacing w:val="0"/>
          <w:sz w:val="32"/>
          <w:szCs w:val="32"/>
          <w:lang w:val="en-US" w:eastAsia="zh-CN"/>
        </w:rPr>
        <w:t>城市管理</w:t>
      </w:r>
      <w:r>
        <w:rPr>
          <w:rFonts w:hint="default" w:eastAsia="仿宋_GB2312"/>
          <w:spacing w:val="0"/>
          <w:sz w:val="32"/>
          <w:szCs w:val="32"/>
          <w:lang w:val="en-US" w:eastAsia="zh-CN"/>
        </w:rPr>
        <w:t>主</w:t>
      </w:r>
      <w:r>
        <w:rPr>
          <w:rFonts w:hint="default" w:hAnsi="Times New Roman" w:eastAsia="仿宋_GB2312"/>
          <w:spacing w:val="0"/>
          <w:sz w:val="32"/>
          <w:szCs w:val="32"/>
          <w:lang w:val="en-US" w:eastAsia="zh-CN"/>
        </w:rPr>
        <w:t>管部</w:t>
      </w:r>
      <w:r>
        <w:rPr>
          <w:rFonts w:hint="default" w:eastAsia="仿宋_GB2312"/>
          <w:spacing w:val="0"/>
          <w:sz w:val="32"/>
          <w:szCs w:val="32"/>
          <w:lang w:val="en-US" w:eastAsia="zh-CN"/>
        </w:rPr>
        <w:t>门责令限期改正，处以所占用绿地面积每平方米每日三十元罚款；对已形成的建筑物、构筑物或其他设施，责令限期拆除、恢复绿地原状。</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第三十</w:t>
      </w:r>
      <w:r>
        <w:rPr>
          <w:rFonts w:hint="eastAsia" w:ascii="黑体" w:hAnsi="黑体" w:eastAsia="黑体" w:cs="黑体"/>
          <w:b w:val="0"/>
          <w:bCs w:val="0"/>
          <w:spacing w:val="0"/>
          <w:sz w:val="32"/>
          <w:szCs w:val="32"/>
          <w:lang w:val="en-US" w:eastAsia="zh-CN"/>
        </w:rPr>
        <w:t>二</w:t>
      </w:r>
      <w:r>
        <w:rPr>
          <w:rFonts w:hint="default" w:ascii="黑体" w:hAnsi="黑体" w:eastAsia="黑体" w:cs="黑体"/>
          <w:b w:val="0"/>
          <w:bCs w:val="0"/>
          <w:spacing w:val="0"/>
          <w:sz w:val="32"/>
          <w:szCs w:val="32"/>
          <w:lang w:val="en-US" w:eastAsia="zh-CN"/>
        </w:rPr>
        <w:t>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违反本条例第二十五条规定，破坏城市园林绿化的，由</w:t>
      </w:r>
      <w:r>
        <w:rPr>
          <w:rFonts w:hint="eastAsia" w:eastAsia="仿宋_GB2312"/>
          <w:spacing w:val="0"/>
          <w:sz w:val="32"/>
          <w:szCs w:val="32"/>
          <w:lang w:val="en-US" w:eastAsia="zh-CN"/>
        </w:rPr>
        <w:t>城市管理</w:t>
      </w:r>
      <w:r>
        <w:rPr>
          <w:rFonts w:hint="default" w:eastAsia="仿宋_GB2312"/>
          <w:spacing w:val="0"/>
          <w:sz w:val="32"/>
          <w:szCs w:val="32"/>
          <w:lang w:val="en-US" w:eastAsia="zh-CN"/>
        </w:rPr>
        <w:t>主管部门责令停止</w:t>
      </w:r>
      <w:r>
        <w:rPr>
          <w:rFonts w:hint="eastAsia" w:eastAsia="仿宋_GB2312"/>
          <w:spacing w:val="0"/>
          <w:sz w:val="32"/>
          <w:szCs w:val="32"/>
          <w:lang w:val="en-US" w:eastAsia="zh-CN"/>
        </w:rPr>
        <w:t>侵害</w:t>
      </w:r>
      <w:r>
        <w:rPr>
          <w:rFonts w:hint="default" w:eastAsia="仿宋_GB2312"/>
          <w:spacing w:val="0"/>
          <w:sz w:val="32"/>
          <w:szCs w:val="32"/>
          <w:lang w:val="en-US" w:eastAsia="zh-CN"/>
        </w:rPr>
        <w:t>、采取补救措施，处以一百元以上五百元以下罚款；造成损失的，应当赔偿损失。</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第三十</w:t>
      </w:r>
      <w:r>
        <w:rPr>
          <w:rFonts w:hint="eastAsia" w:ascii="黑体" w:hAnsi="黑体" w:eastAsia="黑体" w:cs="黑体"/>
          <w:b w:val="0"/>
          <w:bCs w:val="0"/>
          <w:spacing w:val="0"/>
          <w:sz w:val="32"/>
          <w:szCs w:val="32"/>
          <w:lang w:val="en-US" w:eastAsia="zh-CN"/>
        </w:rPr>
        <w:t>三</w:t>
      </w:r>
      <w:r>
        <w:rPr>
          <w:rFonts w:hint="default" w:ascii="黑体" w:hAnsi="黑体" w:eastAsia="黑体" w:cs="黑体"/>
          <w:b w:val="0"/>
          <w:bCs w:val="0"/>
          <w:spacing w:val="0"/>
          <w:sz w:val="32"/>
          <w:szCs w:val="32"/>
          <w:lang w:val="en-US" w:eastAsia="zh-CN"/>
        </w:rPr>
        <w:t>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城市园林绿化管理有关部门及其工作人员违反本条例规定，有下列情形之一的，对直接负责的主管人员和其他直接责任人员依法予以处分；构成犯罪的，依法追究刑事责任：</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6"/>
          <w:sz w:val="32"/>
          <w:szCs w:val="32"/>
          <w:lang w:val="en-US" w:eastAsia="zh-CN"/>
        </w:rPr>
      </w:pPr>
      <w:r>
        <w:rPr>
          <w:rFonts w:hint="default" w:eastAsia="仿宋_GB2312"/>
          <w:spacing w:val="0"/>
          <w:sz w:val="32"/>
          <w:szCs w:val="32"/>
          <w:lang w:val="en-US" w:eastAsia="zh-CN"/>
        </w:rPr>
        <w:t>（一）</w:t>
      </w:r>
      <w:r>
        <w:rPr>
          <w:rFonts w:hint="default" w:eastAsia="仿宋_GB2312"/>
          <w:spacing w:val="-6"/>
          <w:sz w:val="32"/>
          <w:szCs w:val="32"/>
          <w:lang w:val="en-US" w:eastAsia="zh-CN"/>
        </w:rPr>
        <w:t>未按照规定对城市园林绿化有关事项进行审核、审批的；</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（二）对依法应当受理的投诉举报不受理或者对发现的违法线索不移送查处的；</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（三）对依法应当制止、处罚的违法行为不制止、</w:t>
      </w:r>
      <w:r>
        <w:rPr>
          <w:rFonts w:hint="eastAsia" w:eastAsia="仿宋_GB2312"/>
          <w:spacing w:val="0"/>
          <w:sz w:val="32"/>
          <w:szCs w:val="32"/>
          <w:lang w:val="en-US" w:eastAsia="zh-CN"/>
        </w:rPr>
        <w:t>不</w:t>
      </w:r>
      <w:r>
        <w:rPr>
          <w:rFonts w:hint="default" w:eastAsia="仿宋_GB2312"/>
          <w:spacing w:val="0"/>
          <w:sz w:val="32"/>
          <w:szCs w:val="32"/>
          <w:lang w:val="en-US" w:eastAsia="zh-CN"/>
        </w:rPr>
        <w:t>处罚的；</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3" w:firstLineChars="209"/>
        <w:textAlignment w:val="auto"/>
        <w:rPr>
          <w:rFonts w:hint="default" w:eastAsia="仿宋_GB2312"/>
          <w:spacing w:val="0"/>
          <w:sz w:val="32"/>
          <w:szCs w:val="32"/>
          <w:lang w:val="en-US" w:eastAsia="zh-CN"/>
        </w:rPr>
      </w:pPr>
      <w:r>
        <w:rPr>
          <w:rFonts w:hint="default" w:eastAsia="仿宋_GB2312"/>
          <w:spacing w:val="-6"/>
          <w:sz w:val="32"/>
          <w:szCs w:val="32"/>
          <w:lang w:val="en-US" w:eastAsia="zh-CN"/>
        </w:rPr>
        <w:t>（四）其他玩忽职守、滥用职权、徇私舞弊、监督不力的情形。</w:t>
      </w:r>
    </w:p>
    <w:p>
      <w:pPr>
        <w:keepNext w:val="0"/>
        <w:keepLines w:val="0"/>
        <w:pageBreakBefore w:val="0"/>
        <w:widowControl w:val="0"/>
        <w:numPr>
          <w:ilvl w:val="0"/>
          <w:numId w:val="0"/>
        </w:numPr>
        <w:kinsoku/>
        <w:wordWrap/>
        <w:overflowPunct/>
        <w:topLinePunct w:val="0"/>
        <w:autoSpaceDE/>
        <w:autoSpaceDN/>
        <w:bidi w:val="0"/>
        <w:adjustRightInd/>
        <w:snapToGrid/>
        <w:spacing w:before="220" w:beforeLines="50" w:after="220" w:afterLines="50" w:line="500" w:lineRule="exact"/>
        <w:jc w:val="center"/>
        <w:textAlignment w:val="auto"/>
        <w:rPr>
          <w:rFonts w:hint="eastAsia" w:ascii="黑体" w:hAnsi="黑体" w:eastAsia="黑体" w:cs="黑体"/>
          <w:color w:val="auto"/>
          <w:spacing w:val="0"/>
          <w:sz w:val="32"/>
          <w:szCs w:val="32"/>
          <w:lang w:val="en-US" w:eastAsia="zh-CN"/>
        </w:rPr>
      </w:pPr>
      <w:r>
        <w:rPr>
          <w:rFonts w:hint="eastAsia" w:ascii="黑体" w:hAnsi="黑体" w:eastAsia="黑体" w:cs="黑体"/>
          <w:color w:val="auto"/>
          <w:spacing w:val="0"/>
          <w:sz w:val="32"/>
          <w:szCs w:val="32"/>
          <w:lang w:val="en-US" w:eastAsia="zh-CN"/>
        </w:rPr>
        <w:t>第五章  附    则</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第三十</w:t>
      </w:r>
      <w:r>
        <w:rPr>
          <w:rFonts w:hint="eastAsia" w:ascii="黑体" w:hAnsi="黑体" w:eastAsia="黑体" w:cs="黑体"/>
          <w:b w:val="0"/>
          <w:bCs w:val="0"/>
          <w:spacing w:val="0"/>
          <w:sz w:val="32"/>
          <w:szCs w:val="32"/>
          <w:lang w:val="en-US" w:eastAsia="zh-CN"/>
        </w:rPr>
        <w:t>四</w:t>
      </w:r>
      <w:r>
        <w:rPr>
          <w:rFonts w:hint="default" w:ascii="黑体" w:hAnsi="黑体" w:eastAsia="黑体" w:cs="黑体"/>
          <w:b w:val="0"/>
          <w:bCs w:val="0"/>
          <w:spacing w:val="0"/>
          <w:sz w:val="32"/>
          <w:szCs w:val="32"/>
          <w:lang w:val="en-US" w:eastAsia="zh-CN"/>
        </w:rPr>
        <w:t>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本条例下列用语的含义：</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（一）城镇开发边界，是指在国土空间规划中划定的，一定时期内因城镇发展需要，可以集中进行城镇开发建设，完善城镇功能、提升空间品质的区域边界，涉及城市、建制镇以及各类开发区等。</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（二）园林绿化，是指在城市建设用地上实施园林绿地建设和绿化资源管理的活动。</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eastAsia="仿宋_GB2312"/>
          <w:spacing w:val="0"/>
          <w:sz w:val="32"/>
          <w:szCs w:val="32"/>
          <w:lang w:val="en-US" w:eastAsia="zh-CN"/>
        </w:rPr>
        <w:t>（三）园林绿地，是指以植被为主要形态且具有一定功能和</w:t>
      </w:r>
      <w:r>
        <w:rPr>
          <w:rFonts w:hint="default" w:eastAsia="仿宋_GB2312"/>
          <w:spacing w:val="-6"/>
          <w:sz w:val="32"/>
          <w:szCs w:val="32"/>
          <w:lang w:val="en-US" w:eastAsia="zh-CN"/>
        </w:rPr>
        <w:t>用途的城市绿地，包括公园绿地、防护绿地、广场用地和附属绿地。</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640" w:firstLineChars="200"/>
        <w:textAlignment w:val="auto"/>
        <w:rPr>
          <w:rFonts w:hint="default" w:eastAsia="仿宋_GB2312"/>
          <w:spacing w:val="0"/>
          <w:sz w:val="32"/>
          <w:szCs w:val="32"/>
          <w:lang w:val="en-US" w:eastAsia="zh-CN"/>
        </w:rPr>
      </w:pPr>
      <w:r>
        <w:rPr>
          <w:rFonts w:hint="default" w:ascii="黑体" w:hAnsi="黑体" w:eastAsia="黑体" w:cs="黑体"/>
          <w:b w:val="0"/>
          <w:bCs w:val="0"/>
          <w:spacing w:val="0"/>
          <w:sz w:val="32"/>
          <w:szCs w:val="32"/>
          <w:lang w:val="en-US" w:eastAsia="zh-CN"/>
        </w:rPr>
        <w:t>第三十</w:t>
      </w:r>
      <w:r>
        <w:rPr>
          <w:rFonts w:hint="eastAsia" w:ascii="黑体" w:hAnsi="黑体" w:eastAsia="黑体" w:cs="黑体"/>
          <w:b w:val="0"/>
          <w:bCs w:val="0"/>
          <w:spacing w:val="0"/>
          <w:sz w:val="32"/>
          <w:szCs w:val="32"/>
          <w:lang w:val="en-US" w:eastAsia="zh-CN"/>
        </w:rPr>
        <w:t>五</w:t>
      </w:r>
      <w:r>
        <w:rPr>
          <w:rFonts w:hint="default" w:ascii="黑体" w:hAnsi="黑体" w:eastAsia="黑体" w:cs="黑体"/>
          <w:b w:val="0"/>
          <w:bCs w:val="0"/>
          <w:spacing w:val="0"/>
          <w:sz w:val="32"/>
          <w:szCs w:val="32"/>
          <w:lang w:val="en-US" w:eastAsia="zh-CN"/>
        </w:rPr>
        <w:t>条</w:t>
      </w:r>
      <w:r>
        <w:rPr>
          <w:rFonts w:hint="eastAsia" w:ascii="黑体" w:hAnsi="黑体" w:eastAsia="黑体" w:cs="黑体"/>
          <w:b w:val="0"/>
          <w:bCs w:val="0"/>
          <w:spacing w:val="0"/>
          <w:sz w:val="32"/>
          <w:szCs w:val="32"/>
          <w:lang w:val="en-US" w:eastAsia="zh-CN"/>
        </w:rPr>
        <w:t xml:space="preserve">  </w:t>
      </w:r>
      <w:r>
        <w:rPr>
          <w:rFonts w:hint="default" w:eastAsia="仿宋_GB2312"/>
          <w:spacing w:val="0"/>
          <w:sz w:val="32"/>
          <w:szCs w:val="32"/>
          <w:lang w:val="en-US" w:eastAsia="zh-CN"/>
        </w:rPr>
        <w:t>本条例关于县（区）人民政府的规定，适用于湄洲岛国家旅游度假区管理委员会、湄洲湾北岸经济开发区管理委员会。</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黑体" w:hAnsi="黑体" w:eastAsia="黑体" w:cs="黑体"/>
          <w:sz w:val="32"/>
          <w:szCs w:val="32"/>
          <w:lang w:val="en-US" w:eastAsia="zh-CN"/>
        </w:rPr>
      </w:pPr>
      <w:r>
        <w:rPr>
          <w:rFonts w:hint="default" w:ascii="黑体" w:hAnsi="黑体" w:eastAsia="黑体" w:cs="黑体"/>
          <w:b w:val="0"/>
          <w:bCs w:val="0"/>
          <w:spacing w:val="0"/>
          <w:sz w:val="32"/>
          <w:szCs w:val="32"/>
          <w:lang w:val="en-US" w:eastAsia="zh-CN"/>
        </w:rPr>
        <w:t>第三十</w:t>
      </w:r>
      <w:r>
        <w:rPr>
          <w:rFonts w:hint="eastAsia" w:ascii="黑体" w:hAnsi="黑体" w:eastAsia="黑体" w:cs="黑体"/>
          <w:b w:val="0"/>
          <w:bCs w:val="0"/>
          <w:spacing w:val="0"/>
          <w:sz w:val="32"/>
          <w:szCs w:val="32"/>
          <w:lang w:val="en-US" w:eastAsia="zh-CN"/>
        </w:rPr>
        <w:t>六</w:t>
      </w:r>
      <w:r>
        <w:rPr>
          <w:rFonts w:hint="default" w:ascii="黑体" w:hAnsi="黑体" w:eastAsia="黑体" w:cs="黑体"/>
          <w:b w:val="0"/>
          <w:bCs w:val="0"/>
          <w:spacing w:val="0"/>
          <w:sz w:val="32"/>
          <w:szCs w:val="32"/>
          <w:lang w:val="en-US" w:eastAsia="zh-CN"/>
        </w:rPr>
        <w:t>条</w:t>
      </w:r>
      <w:r>
        <w:rPr>
          <w:rFonts w:hint="eastAsia" w:ascii="黑体" w:hAnsi="黑体" w:eastAsia="黑体" w:cs="黑体"/>
          <w:b w:val="0"/>
          <w:bCs w:val="0"/>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本条例自2023年1月1日起施行。</w:t>
      </w:r>
    </w:p>
    <w:sectPr>
      <w:pgSz w:w="11906" w:h="16838"/>
      <w:pgMar w:top="2098" w:right="1531" w:bottom="2098" w:left="1531" w:header="851" w:footer="1701" w:gutter="0"/>
      <w:pgBorders>
        <w:top w:val="none" w:sz="0" w:space="0"/>
        <w:left w:val="none" w:sz="0" w:space="0"/>
        <w:bottom w:val="none" w:sz="0" w:space="0"/>
        <w:right w:val="none" w:sz="0" w:space="0"/>
      </w:pgBorders>
      <w:pgNumType w:fmt="decimal" w:start="32"/>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方正仿宋_GBK">
    <w:panose1 w:val="02000000000000000000"/>
    <w:charset w:val="86"/>
    <w:family w:val="script"/>
    <w:pitch w:val="default"/>
    <w:sig w:usb0="A00002BF" w:usb1="38CF7CFA" w:usb2="00082016" w:usb3="00000000" w:csb0="00040001" w:csb1="00000000"/>
  </w:font>
  <w:font w:name="方正仿宋简体">
    <w:altName w:val="微软雅黑"/>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altName w:val="方正舒体"/>
    <w:panose1 w:val="02010601030101010101"/>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5F76C7"/>
    <w:rsid w:val="047F2BB2"/>
    <w:rsid w:val="06D54ADE"/>
    <w:rsid w:val="082C3F17"/>
    <w:rsid w:val="08596ACD"/>
    <w:rsid w:val="091B1470"/>
    <w:rsid w:val="0D161CE9"/>
    <w:rsid w:val="106A0860"/>
    <w:rsid w:val="11CA42BF"/>
    <w:rsid w:val="11DB3BC7"/>
    <w:rsid w:val="13627167"/>
    <w:rsid w:val="141E1FEA"/>
    <w:rsid w:val="14A85100"/>
    <w:rsid w:val="14BC2210"/>
    <w:rsid w:val="150053B4"/>
    <w:rsid w:val="1674344E"/>
    <w:rsid w:val="1B25424A"/>
    <w:rsid w:val="1B29246B"/>
    <w:rsid w:val="1C534715"/>
    <w:rsid w:val="1DAA5E5A"/>
    <w:rsid w:val="1F0B5540"/>
    <w:rsid w:val="1F635A37"/>
    <w:rsid w:val="1FCC4500"/>
    <w:rsid w:val="212A22B6"/>
    <w:rsid w:val="2133289B"/>
    <w:rsid w:val="22EC0174"/>
    <w:rsid w:val="24B605C8"/>
    <w:rsid w:val="24BE414F"/>
    <w:rsid w:val="272B619A"/>
    <w:rsid w:val="27B61F67"/>
    <w:rsid w:val="27C20A3B"/>
    <w:rsid w:val="281C3036"/>
    <w:rsid w:val="2A1555D7"/>
    <w:rsid w:val="2AE134C0"/>
    <w:rsid w:val="2B032887"/>
    <w:rsid w:val="2BA52084"/>
    <w:rsid w:val="2E7F2161"/>
    <w:rsid w:val="2FBF6C9F"/>
    <w:rsid w:val="30143A05"/>
    <w:rsid w:val="317F4ACF"/>
    <w:rsid w:val="31DD37F0"/>
    <w:rsid w:val="33882C77"/>
    <w:rsid w:val="357553FB"/>
    <w:rsid w:val="362E12CD"/>
    <w:rsid w:val="367F4CC3"/>
    <w:rsid w:val="36ED5603"/>
    <w:rsid w:val="37E01E88"/>
    <w:rsid w:val="37F35F16"/>
    <w:rsid w:val="38917079"/>
    <w:rsid w:val="38CC309F"/>
    <w:rsid w:val="3A1622AC"/>
    <w:rsid w:val="3BFE65C5"/>
    <w:rsid w:val="3D2C6034"/>
    <w:rsid w:val="3F7B2D77"/>
    <w:rsid w:val="3FA46663"/>
    <w:rsid w:val="413D6D29"/>
    <w:rsid w:val="423069FA"/>
    <w:rsid w:val="43BD3F57"/>
    <w:rsid w:val="44321CAE"/>
    <w:rsid w:val="46F005B5"/>
    <w:rsid w:val="49281E8A"/>
    <w:rsid w:val="4C9C31D4"/>
    <w:rsid w:val="4D7F11A7"/>
    <w:rsid w:val="4DED41E4"/>
    <w:rsid w:val="4F55420C"/>
    <w:rsid w:val="4FD55B4A"/>
    <w:rsid w:val="4FFC7119"/>
    <w:rsid w:val="50E22FC3"/>
    <w:rsid w:val="50E4270A"/>
    <w:rsid w:val="514344C5"/>
    <w:rsid w:val="51664AEA"/>
    <w:rsid w:val="559C38E9"/>
    <w:rsid w:val="559E7304"/>
    <w:rsid w:val="564D5180"/>
    <w:rsid w:val="574929FF"/>
    <w:rsid w:val="57A75A85"/>
    <w:rsid w:val="5963683E"/>
    <w:rsid w:val="5AC95491"/>
    <w:rsid w:val="5B1F795C"/>
    <w:rsid w:val="5BA74FCE"/>
    <w:rsid w:val="5DE972E2"/>
    <w:rsid w:val="5EB00269"/>
    <w:rsid w:val="5FC003D1"/>
    <w:rsid w:val="61F66FEC"/>
    <w:rsid w:val="65C85B9C"/>
    <w:rsid w:val="65FFE1B6"/>
    <w:rsid w:val="66FB3D9E"/>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7BA047C"/>
    <w:rsid w:val="78D70437"/>
    <w:rsid w:val="79DE5089"/>
    <w:rsid w:val="7B214E54"/>
    <w:rsid w:val="7B8D4719"/>
    <w:rsid w:val="7C9E3545"/>
    <w:rsid w:val="7E411EBD"/>
    <w:rsid w:val="7EFCAA4F"/>
    <w:rsid w:val="7F44428D"/>
    <w:rsid w:val="7FD60E73"/>
    <w:rsid w:val="7FDD6E12"/>
    <w:rsid w:val="9A3FB545"/>
    <w:rsid w:val="9FB6899F"/>
    <w:rsid w:val="B7F68E03"/>
    <w:rsid w:val="B7FF41BB"/>
    <w:rsid w:val="BFDF9036"/>
    <w:rsid w:val="BFFD93FC"/>
    <w:rsid w:val="D7DD5621"/>
    <w:rsid w:val="E2F18A6E"/>
    <w:rsid w:val="E797F13C"/>
    <w:rsid w:val="F07FCC21"/>
    <w:rsid w:val="F3AA8306"/>
    <w:rsid w:val="F6AB7414"/>
    <w:rsid w:val="FBF2DA55"/>
    <w:rsid w:val="FBFD101C"/>
    <w:rsid w:val="FFEC5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4">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5">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6">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2">
    <w:name w:val="Balloon Text"/>
    <w:basedOn w:val="1"/>
    <w:next w:val="3"/>
    <w:semiHidden/>
    <w:qFormat/>
    <w:uiPriority w:val="0"/>
    <w:rPr>
      <w:sz w:val="18"/>
      <w:szCs w:val="18"/>
    </w:rPr>
  </w:style>
  <w:style w:type="paragraph" w:styleId="3">
    <w:name w:val="index 5"/>
    <w:basedOn w:val="1"/>
    <w:next w:val="1"/>
    <w:qFormat/>
    <w:uiPriority w:val="0"/>
    <w:pPr>
      <w:ind w:left="1680"/>
    </w:pPr>
  </w:style>
  <w:style w:type="paragraph" w:styleId="7">
    <w:name w:val="Normal Indent"/>
    <w:basedOn w:val="1"/>
    <w:next w:val="1"/>
    <w:qFormat/>
    <w:uiPriority w:val="0"/>
    <w:pPr>
      <w:adjustRightInd w:val="0"/>
      <w:spacing w:line="360" w:lineRule="auto"/>
      <w:ind w:firstLine="420"/>
      <w:textAlignment w:val="baseline"/>
    </w:pPr>
    <w:rPr>
      <w:rFonts w:ascii="Calibri" w:hAnsi="Calibri" w:eastAsia="宋体" w:cs="Times New Roman"/>
      <w:kern w:val="0"/>
      <w:sz w:val="24"/>
    </w:rPr>
  </w:style>
  <w:style w:type="paragraph" w:styleId="8">
    <w:name w:val="Body Text"/>
    <w:basedOn w:val="1"/>
    <w:next w:val="9"/>
    <w:qFormat/>
    <w:uiPriority w:val="0"/>
    <w:pPr>
      <w:spacing w:after="120"/>
    </w:pPr>
  </w:style>
  <w:style w:type="paragraph" w:customStyle="1" w:styleId="9">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10">
    <w:name w:val="Body Text Indent"/>
    <w:basedOn w:val="1"/>
    <w:qFormat/>
    <w:uiPriority w:val="0"/>
    <w:pPr>
      <w:spacing w:after="120"/>
      <w:ind w:left="420" w:leftChars="200"/>
    </w:pPr>
  </w:style>
  <w:style w:type="paragraph" w:styleId="11">
    <w:name w:val="Plain Text"/>
    <w:basedOn w:val="1"/>
    <w:unhideWhenUsed/>
    <w:qFormat/>
    <w:uiPriority w:val="99"/>
    <w:rPr>
      <w:rFonts w:ascii="宋体" w:hAnsi="Courier New" w:cs="Courier New"/>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5">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6">
    <w:name w:val="Body Text First Indent"/>
    <w:basedOn w:val="8"/>
    <w:qFormat/>
    <w:uiPriority w:val="0"/>
    <w:pPr>
      <w:ind w:firstLine="420" w:firstLineChars="100"/>
    </w:pPr>
    <w:rPr>
      <w:rFonts w:ascii="Calibri" w:hAnsi="Calibri"/>
      <w:kern w:val="0"/>
      <w:sz w:val="20"/>
      <w:szCs w:val="20"/>
    </w:rPr>
  </w:style>
  <w:style w:type="paragraph" w:styleId="17">
    <w:name w:val="Body Text First Indent 2"/>
    <w:basedOn w:val="1"/>
    <w:next w:val="1"/>
    <w:unhideWhenUsed/>
    <w:qFormat/>
    <w:uiPriority w:val="99"/>
    <w:pPr>
      <w:ind w:firstLine="420" w:firstLineChars="200"/>
    </w:pPr>
  </w:style>
  <w:style w:type="character" w:styleId="20">
    <w:name w:val="page number"/>
    <w:basedOn w:val="19"/>
    <w:qFormat/>
    <w:uiPriority w:val="0"/>
  </w:style>
  <w:style w:type="character" w:styleId="21">
    <w:name w:val="Hyperlink"/>
    <w:basedOn w:val="19"/>
    <w:qFormat/>
    <w:uiPriority w:val="0"/>
    <w:rPr>
      <w:rFonts w:ascii="Calibri" w:hAnsi="Calibri" w:eastAsia="宋体" w:cs="Times New Roman"/>
      <w:color w:val="000000"/>
      <w:u w:val="none"/>
    </w:rPr>
  </w:style>
  <w:style w:type="paragraph" w:customStyle="1" w:styleId="2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3">
    <w:name w:val="NormalCharacter"/>
    <w:qFormat/>
    <w:uiPriority w:val="0"/>
  </w:style>
  <w:style w:type="paragraph" w:customStyle="1" w:styleId="24">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5">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6">
    <w:name w:val="样式2"/>
    <w:basedOn w:val="1"/>
    <w:next w:val="2"/>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7">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8">
    <w:name w:val="16"/>
    <w:basedOn w:val="19"/>
    <w:qFormat/>
    <w:uiPriority w:val="0"/>
    <w:rPr>
      <w:rFonts w:hint="default" w:ascii="Times New Roman" w:hAnsi="Times New Roman" w:cs="Times New Roman"/>
    </w:rPr>
  </w:style>
  <w:style w:type="paragraph" w:customStyle="1" w:styleId="29">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30">
    <w:name w:val="Body Text First Indent 21"/>
    <w:basedOn w:val="10"/>
    <w:qFormat/>
    <w:uiPriority w:val="0"/>
    <w:pPr>
      <w:ind w:firstLine="420"/>
    </w:pPr>
    <w:rPr>
      <w:rFonts w:eastAsia="仿宋_GB2312" w:cs="Times New Roman"/>
      <w:kern w:val="1"/>
      <w:sz w:val="32"/>
      <w:szCs w:val="24"/>
    </w:rPr>
  </w:style>
  <w:style w:type="paragraph" w:customStyle="1" w:styleId="31">
    <w:name w:val="Body Text First Indent 2"/>
    <w:basedOn w:val="10"/>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2">
    <w:name w:val="_Style 3"/>
    <w:basedOn w:val="1"/>
    <w:qFormat/>
    <w:uiPriority w:val="0"/>
    <w:pPr>
      <w:widowControl/>
      <w:spacing w:after="160" w:afterLines="0" w:line="240" w:lineRule="exact"/>
      <w:jc w:val="left"/>
    </w:pPr>
    <w:rPr>
      <w:rFonts w:ascii="Times New Roman" w:hAnsi="Times New Roman" w:cs="Times New Roman"/>
      <w:szCs w:val="24"/>
    </w:rPr>
  </w:style>
  <w:style w:type="paragraph" w:customStyle="1" w:styleId="33">
    <w:name w:val="修正1行"/>
    <w:basedOn w:val="1"/>
    <w:next w:val="1"/>
    <w:qFormat/>
    <w:uiPriority w:val="0"/>
    <w:pPr>
      <w:spacing w:line="480" w:lineRule="exact"/>
    </w:pPr>
  </w:style>
  <w:style w:type="paragraph" w:customStyle="1" w:styleId="34">
    <w:name w:val="BodyText1I2"/>
    <w:basedOn w:val="1"/>
    <w:next w:val="1"/>
    <w:qFormat/>
    <w:uiPriority w:val="0"/>
    <w:pPr>
      <w:ind w:firstLine="420"/>
      <w:jc w:val="both"/>
      <w:textAlignment w:val="baseline"/>
    </w:pPr>
    <w:rPr>
      <w:rFonts w:ascii="Calibri" w:hAnsi="Calibri" w:eastAsia="仿宋_GB2312"/>
      <w:kern w:val="2"/>
      <w:sz w:val="32"/>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5415</Words>
  <Characters>5427</Characters>
  <Lines>1</Lines>
  <Paragraphs>1</Paragraphs>
  <TotalTime>0</TotalTime>
  <ScaleCrop>false</ScaleCrop>
  <LinksUpToDate>false</LinksUpToDate>
  <CharactersWithSpaces>5533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2017-07-30T09:59:00Z</dcterms:created>
  <dc:creator>齐齐</dc:creator>
  <cp:lastModifiedBy>PC400</cp:lastModifiedBy>
  <cp:lastPrinted>2022-12-12T15:44:00Z</cp:lastPrinted>
  <dcterms:modified xsi:type="dcterms:W3CDTF">2023-01-03T02:19:45Z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13D4B2638BDF457291F99B028B8E2F19</vt:lpwstr>
  </property>
</Properties>
</file>