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4EE" w:rsidRDefault="005044EE">
      <w:pPr>
        <w:spacing w:line="560" w:lineRule="exact"/>
        <w:jc w:val="center"/>
        <w:rPr>
          <w:rFonts w:eastAsia="楷体_GB2312"/>
        </w:rPr>
      </w:pPr>
    </w:p>
    <w:p w:rsidR="005044EE" w:rsidRDefault="005044EE">
      <w:pPr>
        <w:spacing w:line="560" w:lineRule="exact"/>
        <w:jc w:val="center"/>
        <w:rPr>
          <w:rFonts w:ascii="仿宋_GB2312" w:hAnsi="仿宋"/>
          <w:kern w:val="0"/>
        </w:rPr>
      </w:pPr>
    </w:p>
    <w:p w:rsidR="005044EE" w:rsidRDefault="00650F2C">
      <w:pPr>
        <w:spacing w:line="560" w:lineRule="exact"/>
        <w:jc w:val="center"/>
        <w:rPr>
          <w:rFonts w:ascii="宋体" w:eastAsia="宋体" w:hAnsi="宋体" w:cs="宋体"/>
          <w:sz w:val="44"/>
          <w:szCs w:val="44"/>
        </w:rPr>
      </w:pPr>
      <w:r>
        <w:rPr>
          <w:rFonts w:ascii="宋体" w:eastAsia="宋体" w:hAnsi="宋体" w:cs="宋体" w:hint="eastAsia"/>
          <w:sz w:val="44"/>
          <w:szCs w:val="44"/>
        </w:rPr>
        <w:t>菏泽市煤炭清洁生产使用监督管理条例</w:t>
      </w:r>
    </w:p>
    <w:p w:rsidR="005044EE" w:rsidRDefault="005044EE">
      <w:pPr>
        <w:spacing w:line="560" w:lineRule="exact"/>
        <w:jc w:val="center"/>
        <w:rPr>
          <w:rFonts w:ascii="宋体" w:eastAsia="宋体" w:hAnsi="宋体" w:cs="宋体"/>
        </w:rPr>
      </w:pPr>
    </w:p>
    <w:p w:rsidR="005044EE" w:rsidRDefault="00650F2C">
      <w:pPr>
        <w:spacing w:line="560" w:lineRule="exact"/>
        <w:ind w:leftChars="225" w:left="720" w:rightChars="176" w:right="563"/>
        <w:rPr>
          <w:rFonts w:ascii="楷体_GB2312" w:eastAsia="楷体_GB2312" w:hAnsi="楷体_GB2312" w:cs="楷体_GB2312"/>
        </w:rPr>
      </w:pPr>
      <w:r>
        <w:rPr>
          <w:rFonts w:ascii="楷体_GB2312" w:eastAsia="楷体_GB2312" w:hAnsi="楷体_GB2312" w:cs="楷体_GB2312" w:hint="eastAsia"/>
        </w:rPr>
        <w:t>(2016</w:t>
      </w:r>
      <w:r>
        <w:rPr>
          <w:rFonts w:ascii="楷体_GB2312" w:eastAsia="楷体_GB2312" w:hAnsi="楷体_GB2312" w:cs="楷体_GB2312" w:hint="eastAsia"/>
        </w:rPr>
        <w:t>年</w:t>
      </w:r>
      <w:r>
        <w:rPr>
          <w:rFonts w:ascii="楷体_GB2312" w:eastAsia="楷体_GB2312" w:hAnsi="楷体_GB2312" w:cs="楷体_GB2312" w:hint="eastAsia"/>
        </w:rPr>
        <w:t>12</w:t>
      </w:r>
      <w:r>
        <w:rPr>
          <w:rFonts w:ascii="楷体_GB2312" w:eastAsia="楷体_GB2312" w:hAnsi="楷体_GB2312" w:cs="楷体_GB2312" w:hint="eastAsia"/>
        </w:rPr>
        <w:t>月</w:t>
      </w:r>
      <w:r>
        <w:rPr>
          <w:rFonts w:ascii="楷体_GB2312" w:eastAsia="楷体_GB2312" w:hAnsi="楷体_GB2312" w:cs="楷体_GB2312" w:hint="eastAsia"/>
        </w:rPr>
        <w:t>23</w:t>
      </w:r>
      <w:r>
        <w:rPr>
          <w:rFonts w:ascii="楷体_GB2312" w:eastAsia="楷体_GB2312" w:hAnsi="楷体_GB2312" w:cs="楷体_GB2312" w:hint="eastAsia"/>
        </w:rPr>
        <w:t>日菏泽市第十八届人民代表大会常务委员会第三十七次会议通过</w:t>
      </w:r>
      <w:r>
        <w:rPr>
          <w:rFonts w:ascii="楷体_GB2312" w:eastAsia="楷体_GB2312" w:hAnsi="楷体_GB2312" w:cs="楷体_GB2312" w:hint="eastAsia"/>
        </w:rPr>
        <w:t xml:space="preserve">  </w:t>
      </w:r>
      <w:r>
        <w:rPr>
          <w:rFonts w:ascii="楷体_GB2312" w:eastAsia="楷体_GB2312" w:hint="eastAsia"/>
          <w:bCs/>
          <w:color w:val="000000"/>
          <w:szCs w:val="32"/>
        </w:rPr>
        <w:t>2017</w:t>
      </w:r>
      <w:r>
        <w:rPr>
          <w:rFonts w:ascii="楷体_GB2312" w:eastAsia="楷体_GB2312" w:hint="eastAsia"/>
          <w:bCs/>
          <w:color w:val="000000"/>
          <w:szCs w:val="32"/>
        </w:rPr>
        <w:t>年</w:t>
      </w:r>
      <w:r>
        <w:rPr>
          <w:rFonts w:ascii="楷体_GB2312" w:eastAsia="楷体_GB2312" w:hint="eastAsia"/>
          <w:bCs/>
          <w:color w:val="000000"/>
          <w:szCs w:val="32"/>
        </w:rPr>
        <w:t>1</w:t>
      </w:r>
      <w:r>
        <w:rPr>
          <w:rFonts w:ascii="楷体_GB2312" w:eastAsia="楷体_GB2312" w:hint="eastAsia"/>
          <w:bCs/>
          <w:color w:val="000000"/>
          <w:szCs w:val="32"/>
        </w:rPr>
        <w:t>月</w:t>
      </w:r>
      <w:r>
        <w:rPr>
          <w:rFonts w:ascii="楷体_GB2312" w:eastAsia="楷体_GB2312" w:hint="eastAsia"/>
          <w:bCs/>
          <w:color w:val="000000"/>
          <w:szCs w:val="32"/>
        </w:rPr>
        <w:t>18</w:t>
      </w:r>
      <w:r>
        <w:rPr>
          <w:rFonts w:ascii="楷体_GB2312" w:eastAsia="楷体_GB2312" w:hint="eastAsia"/>
          <w:bCs/>
          <w:color w:val="000000"/>
          <w:szCs w:val="32"/>
        </w:rPr>
        <w:t>日山东省第十二届人民代表大会常务委员会第二十五次会议批准</w:t>
      </w:r>
      <w:r>
        <w:rPr>
          <w:rFonts w:ascii="楷体_GB2312" w:eastAsia="楷体_GB2312" w:hAnsi="楷体_GB2312" w:cs="楷体_GB2312" w:hint="eastAsia"/>
        </w:rPr>
        <w:t>)</w:t>
      </w:r>
    </w:p>
    <w:p w:rsidR="005044EE" w:rsidRDefault="005044EE">
      <w:pPr>
        <w:spacing w:line="560" w:lineRule="exact"/>
        <w:ind w:leftChars="400" w:left="1280" w:rightChars="400" w:right="1280"/>
        <w:jc w:val="center"/>
        <w:rPr>
          <w:rFonts w:ascii="宋体" w:eastAsia="宋体" w:hAnsi="宋体" w:cs="楷体_GB2312"/>
        </w:rPr>
      </w:pPr>
    </w:p>
    <w:p w:rsidR="005044EE" w:rsidRDefault="00650F2C">
      <w:pPr>
        <w:autoSpaceDE w:val="0"/>
        <w:spacing w:line="560" w:lineRule="exact"/>
        <w:jc w:val="center"/>
        <w:rPr>
          <w:rFonts w:ascii="楷体_GB2312" w:eastAsia="楷体_GB2312" w:hAnsi="宋体" w:cs="楷体_GB2312"/>
        </w:rPr>
      </w:pPr>
      <w:r>
        <w:rPr>
          <w:rFonts w:ascii="楷体_GB2312" w:eastAsia="楷体_GB2312" w:hAnsi="宋体" w:cs="楷体_GB2312" w:hint="eastAsia"/>
        </w:rPr>
        <w:t>目</w:t>
      </w:r>
      <w:r>
        <w:rPr>
          <w:rFonts w:ascii="楷体_GB2312" w:eastAsia="楷体_GB2312" w:hAnsi="宋体" w:cs="楷体_GB2312" w:hint="eastAsia"/>
        </w:rPr>
        <w:t xml:space="preserve">   </w:t>
      </w:r>
      <w:r>
        <w:rPr>
          <w:rFonts w:ascii="楷体_GB2312" w:eastAsia="楷体_GB2312" w:hAnsi="宋体" w:cs="楷体_GB2312" w:hint="eastAsia"/>
        </w:rPr>
        <w:t>录</w:t>
      </w:r>
    </w:p>
    <w:p w:rsidR="005044EE" w:rsidRDefault="00650F2C">
      <w:pPr>
        <w:autoSpaceDE w:val="0"/>
        <w:spacing w:line="560" w:lineRule="exact"/>
        <w:ind w:firstLineChars="200" w:firstLine="640"/>
        <w:rPr>
          <w:rFonts w:ascii="楷体_GB2312" w:eastAsia="楷体_GB2312" w:hAnsi="宋体" w:cs="楷体_GB2312"/>
        </w:rPr>
      </w:pPr>
      <w:r>
        <w:rPr>
          <w:rFonts w:ascii="楷体_GB2312" w:eastAsia="楷体_GB2312" w:hAnsi="宋体" w:cs="楷体_GB2312" w:hint="eastAsia"/>
        </w:rPr>
        <w:t>第一章</w:t>
      </w:r>
      <w:r>
        <w:rPr>
          <w:rFonts w:ascii="楷体_GB2312" w:eastAsia="楷体_GB2312" w:hAnsi="宋体" w:cs="楷体_GB2312" w:hint="eastAsia"/>
        </w:rPr>
        <w:t xml:space="preserve">  </w:t>
      </w:r>
      <w:r>
        <w:rPr>
          <w:rFonts w:ascii="楷体_GB2312" w:eastAsia="楷体_GB2312" w:hAnsi="宋体" w:cs="楷体_GB2312" w:hint="eastAsia"/>
        </w:rPr>
        <w:t>总则</w:t>
      </w:r>
    </w:p>
    <w:p w:rsidR="005044EE" w:rsidRDefault="00650F2C">
      <w:pPr>
        <w:autoSpaceDE w:val="0"/>
        <w:spacing w:line="560" w:lineRule="exact"/>
        <w:ind w:firstLineChars="200" w:firstLine="640"/>
        <w:rPr>
          <w:rFonts w:ascii="楷体_GB2312" w:eastAsia="楷体_GB2312" w:hAnsi="宋体" w:cs="楷体_GB2312"/>
        </w:rPr>
      </w:pPr>
      <w:r>
        <w:rPr>
          <w:rFonts w:ascii="楷体_GB2312" w:eastAsia="楷体_GB2312" w:hAnsi="宋体" w:cs="楷体_GB2312" w:hint="eastAsia"/>
        </w:rPr>
        <w:t>第二章</w:t>
      </w:r>
      <w:r>
        <w:rPr>
          <w:rFonts w:ascii="楷体_GB2312" w:eastAsia="楷体_GB2312" w:hAnsi="宋体" w:cs="楷体_GB2312" w:hint="eastAsia"/>
        </w:rPr>
        <w:t xml:space="preserve">  </w:t>
      </w:r>
      <w:r>
        <w:rPr>
          <w:rFonts w:ascii="楷体_GB2312" w:eastAsia="楷体_GB2312" w:hAnsi="宋体" w:cs="楷体_GB2312" w:hint="eastAsia"/>
        </w:rPr>
        <w:t>煤炭生产经营</w:t>
      </w:r>
    </w:p>
    <w:p w:rsidR="005044EE" w:rsidRDefault="00650F2C">
      <w:pPr>
        <w:autoSpaceDE w:val="0"/>
        <w:spacing w:line="560" w:lineRule="exact"/>
        <w:ind w:firstLine="645"/>
        <w:rPr>
          <w:rFonts w:ascii="楷体_GB2312" w:eastAsia="楷体_GB2312" w:hAnsi="宋体" w:cs="楷体_GB2312"/>
        </w:rPr>
      </w:pPr>
      <w:r>
        <w:rPr>
          <w:rFonts w:ascii="楷体_GB2312" w:eastAsia="楷体_GB2312" w:hAnsi="宋体" w:cs="楷体_GB2312" w:hint="eastAsia"/>
        </w:rPr>
        <w:t>第三章</w:t>
      </w:r>
      <w:r>
        <w:rPr>
          <w:rFonts w:ascii="楷体_GB2312" w:eastAsia="楷体_GB2312" w:hAnsi="宋体" w:cs="楷体_GB2312" w:hint="eastAsia"/>
        </w:rPr>
        <w:t xml:space="preserve">  </w:t>
      </w:r>
      <w:r>
        <w:rPr>
          <w:rFonts w:ascii="楷体_GB2312" w:eastAsia="楷体_GB2312" w:hAnsi="宋体" w:cs="楷体_GB2312" w:hint="eastAsia"/>
        </w:rPr>
        <w:t>煤炭使用</w:t>
      </w:r>
    </w:p>
    <w:p w:rsidR="005044EE" w:rsidRDefault="00650F2C">
      <w:pPr>
        <w:autoSpaceDE w:val="0"/>
        <w:spacing w:line="560" w:lineRule="exact"/>
        <w:ind w:firstLine="645"/>
        <w:rPr>
          <w:rFonts w:ascii="楷体_GB2312" w:eastAsia="楷体_GB2312" w:hAnsi="宋体" w:cs="楷体_GB2312"/>
        </w:rPr>
      </w:pPr>
      <w:r>
        <w:rPr>
          <w:rFonts w:ascii="楷体_GB2312" w:eastAsia="楷体_GB2312" w:hAnsi="宋体" w:cs="楷体_GB2312" w:hint="eastAsia"/>
        </w:rPr>
        <w:t>第四章</w:t>
      </w:r>
      <w:r>
        <w:rPr>
          <w:rFonts w:ascii="楷体_GB2312" w:eastAsia="楷体_GB2312" w:hAnsi="宋体" w:cs="楷体_GB2312" w:hint="eastAsia"/>
        </w:rPr>
        <w:t xml:space="preserve">  </w:t>
      </w:r>
      <w:r>
        <w:rPr>
          <w:rFonts w:ascii="楷体_GB2312" w:eastAsia="楷体_GB2312" w:hAnsi="宋体" w:cs="楷体_GB2312" w:hint="eastAsia"/>
        </w:rPr>
        <w:t>监督管理</w:t>
      </w:r>
    </w:p>
    <w:p w:rsidR="005044EE" w:rsidRDefault="00650F2C">
      <w:pPr>
        <w:autoSpaceDE w:val="0"/>
        <w:spacing w:line="560" w:lineRule="exact"/>
        <w:ind w:firstLine="645"/>
        <w:rPr>
          <w:rFonts w:ascii="楷体_GB2312" w:eastAsia="楷体_GB2312" w:hAnsi="宋体" w:cs="楷体_GB2312"/>
        </w:rPr>
      </w:pPr>
      <w:r>
        <w:rPr>
          <w:rFonts w:ascii="楷体_GB2312" w:eastAsia="楷体_GB2312" w:hAnsi="宋体" w:cs="楷体_GB2312" w:hint="eastAsia"/>
        </w:rPr>
        <w:t>第五章</w:t>
      </w:r>
      <w:r>
        <w:rPr>
          <w:rFonts w:ascii="楷体_GB2312" w:eastAsia="楷体_GB2312" w:hAnsi="宋体" w:cs="楷体_GB2312" w:hint="eastAsia"/>
        </w:rPr>
        <w:t xml:space="preserve">  </w:t>
      </w:r>
      <w:r>
        <w:rPr>
          <w:rFonts w:ascii="楷体_GB2312" w:eastAsia="楷体_GB2312" w:hAnsi="宋体" w:cs="楷体_GB2312" w:hint="eastAsia"/>
        </w:rPr>
        <w:t>法律责任</w:t>
      </w:r>
    </w:p>
    <w:p w:rsidR="005044EE" w:rsidRDefault="00650F2C">
      <w:pPr>
        <w:autoSpaceDE w:val="0"/>
        <w:spacing w:line="560" w:lineRule="exact"/>
        <w:ind w:firstLine="645"/>
        <w:rPr>
          <w:rFonts w:ascii="楷体_GB2312" w:eastAsia="楷体_GB2312" w:hAnsi="宋体" w:cs="楷体_GB2312"/>
        </w:rPr>
      </w:pPr>
      <w:r>
        <w:rPr>
          <w:rFonts w:ascii="楷体_GB2312" w:eastAsia="楷体_GB2312" w:hAnsi="宋体" w:cs="楷体_GB2312" w:hint="eastAsia"/>
        </w:rPr>
        <w:t>第六章</w:t>
      </w:r>
      <w:r>
        <w:rPr>
          <w:rFonts w:ascii="楷体_GB2312" w:eastAsia="楷体_GB2312" w:hAnsi="宋体" w:cs="楷体_GB2312" w:hint="eastAsia"/>
        </w:rPr>
        <w:t xml:space="preserve">  </w:t>
      </w:r>
      <w:r>
        <w:rPr>
          <w:rFonts w:ascii="楷体_GB2312" w:eastAsia="楷体_GB2312" w:hAnsi="宋体" w:cs="楷体_GB2312" w:hint="eastAsia"/>
        </w:rPr>
        <w:t>附则</w:t>
      </w:r>
    </w:p>
    <w:p w:rsidR="005044EE" w:rsidRPr="0058203A" w:rsidRDefault="005044EE">
      <w:pPr>
        <w:spacing w:line="560" w:lineRule="exact"/>
        <w:jc w:val="center"/>
        <w:rPr>
          <w:rFonts w:ascii="宋体" w:eastAsia="宋体" w:hAnsi="宋体" w:cs="楷体_GB2312"/>
        </w:rPr>
      </w:pPr>
    </w:p>
    <w:p w:rsidR="005044EE" w:rsidRDefault="00650F2C">
      <w:pPr>
        <w:numPr>
          <w:ilvl w:val="0"/>
          <w:numId w:val="1"/>
        </w:numPr>
        <w:spacing w:line="560" w:lineRule="exact"/>
        <w:jc w:val="center"/>
        <w:rPr>
          <w:rFonts w:ascii="黑体" w:eastAsia="黑体" w:hAnsi="黑体" w:cs="黑体"/>
        </w:rPr>
      </w:pPr>
      <w:r>
        <w:rPr>
          <w:rFonts w:ascii="黑体" w:eastAsia="黑体" w:hAnsi="黑体" w:cs="黑体" w:hint="eastAsia"/>
        </w:rPr>
        <w:t xml:space="preserve"> </w:t>
      </w:r>
      <w:r>
        <w:rPr>
          <w:rFonts w:ascii="黑体" w:eastAsia="黑体" w:hAnsi="黑体" w:cs="黑体" w:hint="eastAsia"/>
        </w:rPr>
        <w:t>总则</w:t>
      </w:r>
    </w:p>
    <w:p w:rsidR="005044EE" w:rsidRDefault="005044EE">
      <w:pPr>
        <w:spacing w:line="560" w:lineRule="exact"/>
        <w:rPr>
          <w:rFonts w:ascii="黑体" w:eastAsia="黑体" w:hAnsi="黑体" w:cs="黑体"/>
        </w:rPr>
      </w:pP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第一条</w:t>
      </w:r>
      <w:r>
        <w:rPr>
          <w:rFonts w:ascii="黑体" w:eastAsia="黑体" w:hAnsi="黑体" w:cs="黑体" w:hint="eastAsia"/>
        </w:rPr>
        <w:t xml:space="preserve">  </w:t>
      </w:r>
      <w:r>
        <w:rPr>
          <w:rFonts w:ascii="仿宋_GB2312" w:hAnsi="仿宋_GB2312" w:cs="仿宋_GB2312" w:hint="eastAsia"/>
        </w:rPr>
        <w:t>为了规范煤炭清洁生产使用和监督管理，改善环境空气质量，根据《中华人民共和国煤炭法》、《中华人民共和国大气污染防治法》和《山东省清洁生产促进条例》等有关法律法规，结合本市实际，制定本条例。</w:t>
      </w:r>
      <w:r>
        <w:rPr>
          <w:rFonts w:ascii="仿宋_GB2312" w:hAnsi="仿宋_GB2312" w:cs="仿宋_GB2312" w:hint="eastAsia"/>
        </w:rPr>
        <w:t xml:space="preserve"> </w:t>
      </w:r>
    </w:p>
    <w:p w:rsidR="005044EE" w:rsidRDefault="00650F2C">
      <w:pPr>
        <w:spacing w:line="560" w:lineRule="exact"/>
        <w:rPr>
          <w:rFonts w:ascii="仿宋_GB2312" w:hAnsi="仿宋_GB2312" w:cs="仿宋_GB2312"/>
        </w:rPr>
      </w:pPr>
      <w:r>
        <w:rPr>
          <w:rFonts w:ascii="仿宋_GB2312" w:hAnsi="仿宋_GB2312" w:cs="仿宋_GB2312" w:hint="eastAsia"/>
        </w:rPr>
        <w:lastRenderedPageBreak/>
        <w:t xml:space="preserve">    </w:t>
      </w:r>
      <w:r>
        <w:rPr>
          <w:rFonts w:ascii="黑体" w:eastAsia="黑体" w:hAnsi="黑体" w:cs="黑体" w:hint="eastAsia"/>
        </w:rPr>
        <w:t>第二条</w:t>
      </w:r>
      <w:r>
        <w:rPr>
          <w:rFonts w:ascii="黑体" w:eastAsia="黑体" w:hAnsi="黑体" w:cs="黑体" w:hint="eastAsia"/>
        </w:rPr>
        <w:t xml:space="preserve">  </w:t>
      </w:r>
      <w:r>
        <w:rPr>
          <w:rFonts w:ascii="仿宋_GB2312" w:hAnsi="仿宋_GB2312" w:cs="仿宋_GB2312" w:hint="eastAsia"/>
        </w:rPr>
        <w:t>本条例适用于本市行政区域内煤炭清洁生产使用和监督管理活动。</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第三条</w:t>
      </w:r>
      <w:r>
        <w:rPr>
          <w:rFonts w:ascii="仿宋_GB2312" w:hAnsi="仿宋_GB2312" w:cs="仿宋_GB2312" w:hint="eastAsia"/>
        </w:rPr>
        <w:t xml:space="preserve">  </w:t>
      </w:r>
      <w:r>
        <w:rPr>
          <w:rFonts w:ascii="仿宋_GB2312" w:hAnsi="仿宋_GB2312" w:cs="仿宋_GB2312" w:hint="eastAsia"/>
        </w:rPr>
        <w:t>煤炭清洁生产使用应当坚持严管煤质、达标排放、源头控制、强化监管的原则。</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第四条</w:t>
      </w:r>
      <w:r>
        <w:rPr>
          <w:rFonts w:ascii="仿宋_GB2312" w:hAnsi="仿宋_GB2312" w:cs="仿宋_GB2312" w:hint="eastAsia"/>
        </w:rPr>
        <w:t xml:space="preserve">  </w:t>
      </w:r>
      <w:r>
        <w:rPr>
          <w:rFonts w:ascii="仿宋_GB2312" w:hAnsi="仿宋_GB2312" w:cs="仿宋_GB2312" w:hint="eastAsia"/>
        </w:rPr>
        <w:t>市、县区人民政府对本行政区域内的煤炭清洁生产使用监督管理工作负责。</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第五条</w:t>
      </w:r>
      <w:r>
        <w:rPr>
          <w:rFonts w:ascii="黑体" w:eastAsia="黑体" w:hAnsi="黑体" w:cs="黑体" w:hint="eastAsia"/>
        </w:rPr>
        <w:t xml:space="preserve">  </w:t>
      </w:r>
      <w:r>
        <w:rPr>
          <w:rFonts w:ascii="仿宋_GB2312" w:hAnsi="仿宋_GB2312" w:cs="仿宋_GB2312" w:hint="eastAsia"/>
        </w:rPr>
        <w:t>市、县区人民政府煤炭主管部门对本行政区域内的煤炭清洁生产使用实施统一监督管理。</w:t>
      </w:r>
    </w:p>
    <w:p w:rsidR="005044EE" w:rsidRDefault="00650F2C">
      <w:pPr>
        <w:spacing w:line="560" w:lineRule="exact"/>
        <w:ind w:firstLine="633"/>
        <w:rPr>
          <w:rFonts w:ascii="仿宋_GB2312" w:hAnsi="仿宋_GB2312" w:cs="仿宋_GB2312"/>
        </w:rPr>
      </w:pPr>
      <w:r>
        <w:rPr>
          <w:rFonts w:ascii="仿宋_GB2312" w:hAnsi="仿宋_GB2312" w:cs="仿宋_GB2312" w:hint="eastAsia"/>
        </w:rPr>
        <w:t>发展改革、经济和信息化、公安、财政、国土资源、规划、住房和城乡建设、城市管理、交通运输、环境保护、工商行政管理、质量技术监督（市场监督管理）等部门按照各自职责，做好煤炭清洁生产使用监督管理相关工作。</w:t>
      </w:r>
    </w:p>
    <w:p w:rsidR="005044EE" w:rsidRDefault="005044EE">
      <w:pPr>
        <w:spacing w:line="560" w:lineRule="exact"/>
        <w:ind w:firstLine="633"/>
        <w:rPr>
          <w:rFonts w:ascii="仿宋_GB2312" w:hAnsi="仿宋_GB2312" w:cs="仿宋_GB2312"/>
        </w:rPr>
      </w:pPr>
    </w:p>
    <w:p w:rsidR="005044EE" w:rsidRDefault="00650F2C">
      <w:pPr>
        <w:numPr>
          <w:ilvl w:val="0"/>
          <w:numId w:val="1"/>
        </w:numPr>
        <w:spacing w:line="560" w:lineRule="exact"/>
        <w:jc w:val="center"/>
        <w:rPr>
          <w:rFonts w:ascii="黑体" w:eastAsia="黑体" w:hAnsi="黑体" w:cs="黑体"/>
        </w:rPr>
      </w:pPr>
      <w:r>
        <w:rPr>
          <w:rFonts w:ascii="黑体" w:eastAsia="黑体" w:hAnsi="黑体" w:cs="黑体" w:hint="eastAsia"/>
        </w:rPr>
        <w:t xml:space="preserve"> </w:t>
      </w:r>
      <w:r>
        <w:rPr>
          <w:rFonts w:ascii="黑体" w:eastAsia="黑体" w:hAnsi="黑体" w:cs="黑体" w:hint="eastAsia"/>
        </w:rPr>
        <w:t>煤炭生产经营</w:t>
      </w:r>
    </w:p>
    <w:p w:rsidR="005044EE" w:rsidRDefault="005044EE">
      <w:pPr>
        <w:spacing w:line="560" w:lineRule="exact"/>
        <w:rPr>
          <w:rFonts w:ascii="黑体" w:eastAsia="黑体" w:hAnsi="黑体" w:cs="黑体"/>
        </w:rPr>
      </w:pP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第六条</w:t>
      </w:r>
      <w:r>
        <w:rPr>
          <w:rFonts w:ascii="仿宋_GB2312" w:hAnsi="仿宋_GB2312" w:cs="仿宋_GB2312" w:hint="eastAsia"/>
        </w:rPr>
        <w:t xml:space="preserve">  </w:t>
      </w:r>
      <w:r>
        <w:rPr>
          <w:rFonts w:ascii="仿宋_GB2312" w:hAnsi="仿宋_GB2312" w:cs="仿宋_GB2312" w:hint="eastAsia"/>
        </w:rPr>
        <w:t>鼓励支持煤炭生产企业在开发煤炭资源过程中采取优化巷道布置、减少矸石排放和安全高效综合机械化充填等先进工艺、技术，实现煤炭开采与环境保护协调推进，经济效益与环境效益和谐统一。</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第七条</w:t>
      </w:r>
      <w:r>
        <w:rPr>
          <w:rFonts w:ascii="仿宋_GB2312" w:hAnsi="仿宋_GB2312" w:cs="仿宋_GB2312" w:hint="eastAsia"/>
        </w:rPr>
        <w:t xml:space="preserve">  </w:t>
      </w:r>
      <w:r>
        <w:rPr>
          <w:rFonts w:ascii="仿宋_GB2312" w:hAnsi="仿宋_GB2312" w:cs="仿宋_GB2312" w:hint="eastAsia"/>
        </w:rPr>
        <w:t>鼓励煤</w:t>
      </w:r>
      <w:r>
        <w:rPr>
          <w:rFonts w:ascii="仿宋_GB2312" w:hAnsi="仿宋_GB2312" w:cs="仿宋_GB2312" w:hint="eastAsia"/>
        </w:rPr>
        <w:t>炭生产企业推行煤炭洗选加工，降低煤炭的硫分和灰分，提高煤炭洁净品质。</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第八条</w:t>
      </w:r>
      <w:r>
        <w:rPr>
          <w:rFonts w:ascii="仿宋_GB2312" w:hAnsi="仿宋_GB2312" w:cs="仿宋_GB2312" w:hint="eastAsia"/>
        </w:rPr>
        <w:t xml:space="preserve">  </w:t>
      </w:r>
      <w:r>
        <w:rPr>
          <w:rFonts w:ascii="仿宋_GB2312" w:hAnsi="仿宋_GB2312" w:cs="仿宋_GB2312" w:hint="eastAsia"/>
        </w:rPr>
        <w:t>煤炭生产企业在生产、加工、贮存、销售和使用过程</w:t>
      </w:r>
      <w:r>
        <w:rPr>
          <w:rFonts w:ascii="仿宋_GB2312" w:hAnsi="仿宋_GB2312" w:cs="仿宋_GB2312" w:hint="eastAsia"/>
        </w:rPr>
        <w:lastRenderedPageBreak/>
        <w:t>中应当采取防尘降尘等措施，避免向大气排放煤粉尘，不得超标排放气态污染物。</w:t>
      </w:r>
    </w:p>
    <w:p w:rsidR="005044EE" w:rsidRDefault="00650F2C">
      <w:pPr>
        <w:spacing w:line="560" w:lineRule="exact"/>
        <w:ind w:firstLine="640"/>
        <w:rPr>
          <w:rFonts w:ascii="仿宋_GB2312" w:hAnsi="仿宋_GB2312" w:cs="仿宋_GB2312"/>
        </w:rPr>
      </w:pPr>
      <w:r>
        <w:rPr>
          <w:rFonts w:ascii="黑体" w:eastAsia="黑体" w:hAnsi="黑体" w:cs="黑体" w:hint="eastAsia"/>
        </w:rPr>
        <w:t>第九条</w:t>
      </w:r>
      <w:r>
        <w:rPr>
          <w:rFonts w:ascii="仿宋_GB2312" w:hAnsi="仿宋_GB2312" w:cs="仿宋_GB2312" w:hint="eastAsia"/>
        </w:rPr>
        <w:t xml:space="preserve">  </w:t>
      </w:r>
      <w:r>
        <w:rPr>
          <w:rFonts w:ascii="仿宋_GB2312" w:hAnsi="仿宋_GB2312" w:cs="仿宋_GB2312" w:hint="eastAsia"/>
        </w:rPr>
        <w:t>市人民政府煤炭主管部门应当会同国土资源、规划、环境保护等部门编制经营性储煤场地布点规划，报市人民政府批准后实施。</w:t>
      </w:r>
    </w:p>
    <w:p w:rsidR="005044EE" w:rsidRDefault="00650F2C">
      <w:pPr>
        <w:spacing w:line="560" w:lineRule="exact"/>
        <w:ind w:firstLine="640"/>
        <w:rPr>
          <w:rFonts w:ascii="仿宋_GB2312" w:hAnsi="仿宋_GB2312" w:cs="仿宋_GB2312"/>
        </w:rPr>
      </w:pPr>
      <w:r>
        <w:rPr>
          <w:rFonts w:ascii="仿宋_GB2312" w:hAnsi="仿宋_GB2312" w:cs="仿宋_GB2312" w:hint="eastAsia"/>
        </w:rPr>
        <w:t>市、县区人民政府应当按照经营性储煤场地布点规划，对现有经营性储煤场地进行整顿规范。</w:t>
      </w:r>
    </w:p>
    <w:p w:rsidR="005044EE" w:rsidRDefault="00650F2C">
      <w:pPr>
        <w:spacing w:line="560" w:lineRule="exact"/>
        <w:ind w:firstLine="640"/>
        <w:rPr>
          <w:rFonts w:ascii="仿宋_GB2312" w:hAnsi="仿宋_GB2312" w:cs="仿宋_GB2312"/>
        </w:rPr>
      </w:pPr>
      <w:r>
        <w:rPr>
          <w:rFonts w:ascii="仿宋_GB2312" w:hAnsi="仿宋_GB2312" w:cs="仿宋_GB2312" w:hint="eastAsia"/>
        </w:rPr>
        <w:t>新设经营性储煤场地应当在全市公布的布点规划范围内。禁止擅自设立经营性储煤场地。</w:t>
      </w:r>
    </w:p>
    <w:p w:rsidR="005044EE" w:rsidRDefault="00650F2C">
      <w:pPr>
        <w:spacing w:line="560" w:lineRule="exact"/>
        <w:ind w:firstLine="631"/>
        <w:rPr>
          <w:rFonts w:ascii="仿宋_GB2312" w:hAnsi="仿宋_GB2312" w:cs="仿宋_GB2312"/>
        </w:rPr>
      </w:pPr>
      <w:r>
        <w:rPr>
          <w:rFonts w:ascii="黑体" w:eastAsia="黑体" w:hAnsi="黑体" w:cs="黑体" w:hint="eastAsia"/>
        </w:rPr>
        <w:t>第十条</w:t>
      </w:r>
      <w:r>
        <w:rPr>
          <w:rFonts w:ascii="仿宋_GB2312" w:hAnsi="仿宋_GB2312" w:cs="仿宋_GB2312" w:hint="eastAsia"/>
        </w:rPr>
        <w:t xml:space="preserve">  </w:t>
      </w:r>
      <w:r>
        <w:rPr>
          <w:rFonts w:ascii="仿宋_GB2312" w:hAnsi="仿宋_GB2312" w:cs="仿宋_GB2312" w:hint="eastAsia"/>
        </w:rPr>
        <w:t>在本市</w:t>
      </w:r>
      <w:r>
        <w:rPr>
          <w:rFonts w:ascii="仿宋_GB2312" w:hAnsi="仿宋_GB2312" w:cs="仿宋_GB2312" w:hint="eastAsia"/>
        </w:rPr>
        <w:t>落地经营煤炭，应当在经营性储煤场地集中存放和销售，在装卸、储存、加工煤炭时应当采取降尘、</w:t>
      </w:r>
      <w:proofErr w:type="gramStart"/>
      <w:r>
        <w:rPr>
          <w:rFonts w:ascii="仿宋_GB2312" w:hAnsi="仿宋_GB2312" w:cs="仿宋_GB2312" w:hint="eastAsia"/>
        </w:rPr>
        <w:t>抑尘和</w:t>
      </w:r>
      <w:proofErr w:type="gramEnd"/>
      <w:r>
        <w:rPr>
          <w:rFonts w:ascii="仿宋_GB2312" w:hAnsi="仿宋_GB2312" w:cs="仿宋_GB2312" w:hint="eastAsia"/>
        </w:rPr>
        <w:t>防燃措施。</w:t>
      </w:r>
    </w:p>
    <w:p w:rsidR="005044EE" w:rsidRDefault="00650F2C">
      <w:pPr>
        <w:spacing w:line="560" w:lineRule="exact"/>
        <w:ind w:firstLine="631"/>
        <w:rPr>
          <w:rFonts w:ascii="仿宋_GB2312" w:hAnsi="仿宋_GB2312" w:cs="仿宋_GB2312"/>
        </w:rPr>
      </w:pPr>
      <w:r>
        <w:rPr>
          <w:rFonts w:ascii="仿宋_GB2312" w:hAnsi="仿宋_GB2312" w:cs="仿宋_GB2312" w:hint="eastAsia"/>
        </w:rPr>
        <w:t>销售本市使用的煤炭应当符合本市煤炭质量要求。</w:t>
      </w:r>
    </w:p>
    <w:p w:rsidR="005044EE" w:rsidRDefault="00650F2C">
      <w:pPr>
        <w:spacing w:line="560" w:lineRule="exact"/>
        <w:ind w:firstLine="640"/>
        <w:rPr>
          <w:rFonts w:ascii="仿宋_GB2312" w:hAnsi="仿宋_GB2312" w:cs="仿宋_GB2312"/>
        </w:rPr>
      </w:pPr>
      <w:r>
        <w:rPr>
          <w:rFonts w:ascii="仿宋_GB2312" w:hAnsi="仿宋_GB2312" w:cs="仿宋_GB2312" w:hint="eastAsia"/>
        </w:rPr>
        <w:t>禁止在储煤场地外堆放和销售煤炭。</w:t>
      </w:r>
    </w:p>
    <w:p w:rsidR="005044EE" w:rsidRDefault="00650F2C">
      <w:pPr>
        <w:spacing w:line="560" w:lineRule="exact"/>
        <w:ind w:firstLine="640"/>
        <w:rPr>
          <w:rFonts w:ascii="仿宋_GB2312" w:hAnsi="仿宋_GB2312" w:cs="仿宋_GB2312"/>
        </w:rPr>
      </w:pPr>
      <w:r>
        <w:rPr>
          <w:rFonts w:ascii="仿宋_GB2312" w:hAnsi="仿宋_GB2312" w:cs="仿宋_GB2312" w:hint="eastAsia"/>
        </w:rPr>
        <w:t>禁止在市、县区人民政府划定的禁燃区内销售原煤。</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第十一条</w:t>
      </w:r>
      <w:r>
        <w:rPr>
          <w:rFonts w:ascii="仿宋_GB2312" w:hAnsi="仿宋_GB2312" w:cs="仿宋_GB2312" w:hint="eastAsia"/>
        </w:rPr>
        <w:t xml:space="preserve">  </w:t>
      </w:r>
      <w:r>
        <w:rPr>
          <w:rFonts w:ascii="仿宋_GB2312" w:hAnsi="仿宋_GB2312" w:cs="仿宋_GB2312" w:hint="eastAsia"/>
        </w:rPr>
        <w:t>经营性储煤场地，应当按照要求进行地面和道路硬化，设置挡风</w:t>
      </w:r>
      <w:proofErr w:type="gramStart"/>
      <w:r>
        <w:rPr>
          <w:rFonts w:ascii="仿宋_GB2312" w:hAnsi="仿宋_GB2312" w:cs="仿宋_GB2312" w:hint="eastAsia"/>
        </w:rPr>
        <w:t>抑尘墙或者防风抑</w:t>
      </w:r>
      <w:proofErr w:type="gramEnd"/>
      <w:r>
        <w:rPr>
          <w:rFonts w:ascii="仿宋_GB2312" w:hAnsi="仿宋_GB2312" w:cs="仿宋_GB2312" w:hint="eastAsia"/>
        </w:rPr>
        <w:t>尘网，安装固定式或者</w:t>
      </w:r>
      <w:proofErr w:type="gramStart"/>
      <w:r>
        <w:rPr>
          <w:rFonts w:ascii="仿宋_GB2312" w:hAnsi="仿宋_GB2312" w:cs="仿宋_GB2312" w:hint="eastAsia"/>
        </w:rPr>
        <w:t>移动式抑尘自动</w:t>
      </w:r>
      <w:proofErr w:type="gramEnd"/>
      <w:r>
        <w:rPr>
          <w:rFonts w:ascii="仿宋_GB2312" w:hAnsi="仿宋_GB2312" w:cs="仿宋_GB2312" w:hint="eastAsia"/>
        </w:rPr>
        <w:t>喷淋装置，设置运输车辆进出清洗设备，配备排水沉淀设施，防止煤粉尘污染。</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第十二条</w:t>
      </w:r>
      <w:r>
        <w:rPr>
          <w:rFonts w:ascii="仿宋_GB2312" w:hAnsi="仿宋_GB2312" w:cs="仿宋_GB2312" w:hint="eastAsia"/>
        </w:rPr>
        <w:t xml:space="preserve">  </w:t>
      </w:r>
      <w:r>
        <w:rPr>
          <w:rFonts w:ascii="仿宋_GB2312" w:hAnsi="仿宋_GB2312" w:cs="仿宋_GB2312" w:hint="eastAsia"/>
        </w:rPr>
        <w:t>进入本市行政区域内的煤炭运输车辆，应当采取密闭措施，不得遗撒</w:t>
      </w:r>
      <w:r>
        <w:rPr>
          <w:rFonts w:ascii="仿宋_GB2312" w:hAnsi="仿宋_GB2312" w:cs="仿宋_GB2312" w:hint="eastAsia"/>
        </w:rPr>
        <w:t>、泄漏。在当地销售、使用的应当随车携带煤质化验报告单。</w:t>
      </w:r>
    </w:p>
    <w:p w:rsidR="005044EE" w:rsidRDefault="00650F2C">
      <w:pPr>
        <w:spacing w:line="560" w:lineRule="exact"/>
        <w:ind w:firstLine="631"/>
        <w:rPr>
          <w:rFonts w:ascii="仿宋_GB2312" w:hAnsi="仿宋_GB2312" w:cs="仿宋_GB2312"/>
        </w:rPr>
      </w:pPr>
      <w:r>
        <w:rPr>
          <w:rFonts w:ascii="仿宋_GB2312" w:hAnsi="仿宋_GB2312" w:cs="仿宋_GB2312" w:hint="eastAsia"/>
        </w:rPr>
        <w:lastRenderedPageBreak/>
        <w:t>禁止不符合国家标准或者行业标准的煤炭进入本市市场。</w:t>
      </w:r>
    </w:p>
    <w:p w:rsidR="005044EE" w:rsidRDefault="005044EE">
      <w:pPr>
        <w:spacing w:line="560" w:lineRule="exact"/>
        <w:ind w:firstLine="631"/>
        <w:rPr>
          <w:rFonts w:ascii="仿宋_GB2312" w:hAnsi="仿宋_GB2312" w:cs="仿宋_GB2312"/>
        </w:rPr>
      </w:pPr>
    </w:p>
    <w:p w:rsidR="005044EE" w:rsidRDefault="00650F2C">
      <w:pPr>
        <w:numPr>
          <w:ilvl w:val="0"/>
          <w:numId w:val="1"/>
        </w:numPr>
        <w:spacing w:line="560" w:lineRule="exact"/>
        <w:jc w:val="center"/>
        <w:rPr>
          <w:rFonts w:ascii="黑体" w:eastAsia="黑体" w:hAnsi="黑体" w:cs="黑体"/>
        </w:rPr>
      </w:pPr>
      <w:r>
        <w:rPr>
          <w:rFonts w:ascii="黑体" w:eastAsia="黑体" w:hAnsi="黑体" w:cs="黑体" w:hint="eastAsia"/>
        </w:rPr>
        <w:t xml:space="preserve"> </w:t>
      </w:r>
      <w:r>
        <w:rPr>
          <w:rFonts w:ascii="黑体" w:eastAsia="黑体" w:hAnsi="黑体" w:cs="黑体" w:hint="eastAsia"/>
        </w:rPr>
        <w:t>煤炭使用</w:t>
      </w:r>
    </w:p>
    <w:p w:rsidR="005044EE" w:rsidRDefault="005044EE">
      <w:pPr>
        <w:spacing w:line="560" w:lineRule="exact"/>
        <w:rPr>
          <w:rFonts w:ascii="黑体" w:eastAsia="黑体" w:hAnsi="黑体" w:cs="黑体"/>
        </w:rPr>
      </w:pPr>
    </w:p>
    <w:p w:rsidR="005044EE" w:rsidRDefault="00650F2C">
      <w:pPr>
        <w:spacing w:line="560" w:lineRule="exact"/>
        <w:ind w:firstLine="657"/>
        <w:rPr>
          <w:rFonts w:ascii="仿宋_GB2312" w:hAnsi="仿宋_GB2312" w:cs="仿宋_GB2312"/>
        </w:rPr>
      </w:pPr>
      <w:r>
        <w:rPr>
          <w:rFonts w:ascii="黑体" w:eastAsia="黑体" w:hAnsi="黑体" w:cs="黑体" w:hint="eastAsia"/>
        </w:rPr>
        <w:t>第十三条</w:t>
      </w:r>
      <w:r>
        <w:rPr>
          <w:rFonts w:ascii="仿宋_GB2312" w:hAnsi="仿宋_GB2312" w:cs="仿宋_GB2312" w:hint="eastAsia"/>
        </w:rPr>
        <w:t xml:space="preserve">  </w:t>
      </w:r>
      <w:r>
        <w:rPr>
          <w:rFonts w:ascii="仿宋_GB2312" w:hAnsi="仿宋_GB2312" w:cs="仿宋_GB2312" w:hint="eastAsia"/>
        </w:rPr>
        <w:t>煤炭燃用单位使用的煤炭应当符合本市质量要求。</w:t>
      </w:r>
    </w:p>
    <w:p w:rsidR="005044EE" w:rsidRDefault="00650F2C">
      <w:pPr>
        <w:spacing w:line="560" w:lineRule="exact"/>
        <w:ind w:firstLine="657"/>
        <w:rPr>
          <w:rFonts w:ascii="仿宋_GB2312" w:hAnsi="仿宋_GB2312" w:cs="仿宋_GB2312"/>
        </w:rPr>
      </w:pPr>
      <w:r>
        <w:rPr>
          <w:rFonts w:ascii="仿宋_GB2312" w:hAnsi="仿宋_GB2312" w:cs="仿宋_GB2312" w:hint="eastAsia"/>
        </w:rPr>
        <w:t>本市煤炭质量要求由市人民政府煤炭主管部门会同有关部门根据国家标准或者行业标准和本市实际分类确定，经市人民政府批准后公布执行。</w:t>
      </w:r>
    </w:p>
    <w:p w:rsidR="005044EE" w:rsidRDefault="00650F2C">
      <w:pPr>
        <w:spacing w:line="560" w:lineRule="exact"/>
        <w:rPr>
          <w:rFonts w:ascii="仿宋_GB2312" w:hAnsi="仿宋_GB2312" w:cs="仿宋_GB2312"/>
          <w:highlight w:val="yellow"/>
        </w:rPr>
      </w:pPr>
      <w:r>
        <w:rPr>
          <w:rFonts w:ascii="仿宋_GB2312" w:hAnsi="仿宋_GB2312" w:cs="仿宋_GB2312" w:hint="eastAsia"/>
        </w:rPr>
        <w:t xml:space="preserve">    </w:t>
      </w:r>
      <w:r>
        <w:rPr>
          <w:rFonts w:ascii="黑体" w:eastAsia="黑体" w:hAnsi="黑体" w:cs="黑体" w:hint="eastAsia"/>
        </w:rPr>
        <w:t>第十四条</w:t>
      </w:r>
      <w:r>
        <w:rPr>
          <w:rFonts w:ascii="仿宋_GB2312" w:hAnsi="仿宋_GB2312" w:cs="仿宋_GB2312" w:hint="eastAsia"/>
        </w:rPr>
        <w:t xml:space="preserve">  </w:t>
      </w:r>
      <w:r>
        <w:rPr>
          <w:rFonts w:ascii="仿宋_GB2312" w:hAnsi="仿宋_GB2312" w:cs="仿宋_GB2312" w:hint="eastAsia"/>
        </w:rPr>
        <w:t>煤炭燃用单位应当建立煤炭使用台账，如实记录煤炭来源、采购数量、煤质情况等相关内容。台账保存记录不得少于二年。</w:t>
      </w:r>
    </w:p>
    <w:p w:rsidR="005044EE" w:rsidRDefault="00650F2C">
      <w:pPr>
        <w:spacing w:line="560" w:lineRule="exact"/>
        <w:rPr>
          <w:rFonts w:ascii="仿宋_GB2312" w:hAnsi="仿宋_GB2312" w:cs="仿宋_GB2312"/>
        </w:rPr>
      </w:pPr>
      <w:r>
        <w:rPr>
          <w:rFonts w:ascii="仿宋_GB2312" w:hAnsi="仿宋_GB2312" w:cs="仿宋_GB2312" w:hint="eastAsia"/>
        </w:rPr>
        <w:t xml:space="preserve">　　煤炭燃用单位应当对炉前煤逐批次检测煤质，并向其煤炭主管部门报送煤质检测信息。</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第十五条</w:t>
      </w:r>
      <w:r>
        <w:rPr>
          <w:rFonts w:ascii="仿宋_GB2312" w:hAnsi="仿宋_GB2312" w:cs="仿宋_GB2312" w:hint="eastAsia"/>
        </w:rPr>
        <w:t xml:space="preserve">  </w:t>
      </w:r>
      <w:r>
        <w:rPr>
          <w:rFonts w:ascii="仿宋_GB2312" w:hAnsi="仿宋_GB2312" w:cs="仿宋_GB2312" w:hint="eastAsia"/>
        </w:rPr>
        <w:t>煤炭燃用单位贮存煤炭应当密闭，不具备密闭条件的，应当设置不低于煤堆高度的严密围挡，并采取覆盖措施和防燃措施，避免对周边环境造成污染。</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第十六条</w:t>
      </w:r>
      <w:r>
        <w:rPr>
          <w:rFonts w:ascii="仿宋_GB2312" w:hAnsi="仿宋_GB2312" w:cs="仿宋_GB2312" w:hint="eastAsia"/>
        </w:rPr>
        <w:t xml:space="preserve">  </w:t>
      </w:r>
      <w:r>
        <w:rPr>
          <w:rFonts w:ascii="仿宋_GB2312" w:hAnsi="仿宋_GB2312" w:cs="仿宋_GB2312" w:hint="eastAsia"/>
        </w:rPr>
        <w:t>加强民用散煤清洁化治理，鼓励居民取暖和生活燃煤采用洁净型煤等清洁煤炭。积极推广使用天然气、石油液化气、电等清洁能源和节能环保型炉具。</w:t>
      </w:r>
    </w:p>
    <w:p w:rsidR="005044EE" w:rsidRDefault="00650F2C">
      <w:pPr>
        <w:spacing w:line="560" w:lineRule="exact"/>
        <w:rPr>
          <w:rFonts w:ascii="仿宋_GB2312" w:hAnsi="仿宋_GB2312" w:cs="仿宋_GB2312"/>
        </w:rPr>
      </w:pPr>
      <w:r>
        <w:rPr>
          <w:rFonts w:ascii="仿宋_GB2312" w:hAnsi="仿宋_GB2312" w:cs="仿宋_GB2312" w:hint="eastAsia"/>
        </w:rPr>
        <w:t xml:space="preserve">　　民用洁净型煤应当推行集中加工、统一配送、连锁经营。</w:t>
      </w:r>
    </w:p>
    <w:p w:rsidR="005044EE" w:rsidRDefault="00650F2C">
      <w:pPr>
        <w:spacing w:line="560" w:lineRule="exact"/>
        <w:ind w:firstLine="631"/>
        <w:rPr>
          <w:rFonts w:ascii="仿宋_GB2312" w:hAnsi="仿宋_GB2312" w:cs="仿宋_GB2312"/>
        </w:rPr>
      </w:pPr>
      <w:r>
        <w:rPr>
          <w:rFonts w:ascii="仿宋_GB2312" w:hAnsi="仿宋_GB2312" w:cs="仿宋_GB2312" w:hint="eastAsia"/>
        </w:rPr>
        <w:t>禁燃区内禁止燃用原煤。</w:t>
      </w:r>
    </w:p>
    <w:p w:rsidR="005044EE" w:rsidRDefault="005044EE">
      <w:pPr>
        <w:spacing w:line="560" w:lineRule="exact"/>
        <w:ind w:firstLine="631"/>
        <w:rPr>
          <w:rFonts w:ascii="仿宋_GB2312" w:hAnsi="仿宋_GB2312" w:cs="仿宋_GB2312"/>
        </w:rPr>
      </w:pPr>
    </w:p>
    <w:p w:rsidR="005044EE" w:rsidRDefault="005044EE">
      <w:pPr>
        <w:spacing w:line="560" w:lineRule="exact"/>
        <w:ind w:firstLine="631"/>
        <w:rPr>
          <w:rFonts w:ascii="仿宋_GB2312" w:hAnsi="仿宋_GB2312" w:cs="仿宋_GB2312"/>
        </w:rPr>
      </w:pPr>
    </w:p>
    <w:p w:rsidR="005044EE" w:rsidRDefault="00650F2C">
      <w:pPr>
        <w:numPr>
          <w:ilvl w:val="0"/>
          <w:numId w:val="1"/>
        </w:numPr>
        <w:spacing w:line="560" w:lineRule="exact"/>
        <w:jc w:val="center"/>
        <w:rPr>
          <w:rFonts w:ascii="黑体" w:eastAsia="黑体" w:hAnsi="黑体" w:cs="黑体"/>
        </w:rPr>
      </w:pPr>
      <w:r>
        <w:rPr>
          <w:rFonts w:ascii="黑体" w:eastAsia="黑体" w:hAnsi="黑体" w:cs="黑体" w:hint="eastAsia"/>
        </w:rPr>
        <w:t xml:space="preserve"> </w:t>
      </w:r>
      <w:r>
        <w:rPr>
          <w:rFonts w:ascii="黑体" w:eastAsia="黑体" w:hAnsi="黑体" w:cs="黑体" w:hint="eastAsia"/>
        </w:rPr>
        <w:t>监督管理</w:t>
      </w:r>
    </w:p>
    <w:p w:rsidR="005044EE" w:rsidRDefault="005044EE">
      <w:pPr>
        <w:spacing w:line="560" w:lineRule="exact"/>
        <w:rPr>
          <w:rFonts w:ascii="黑体" w:eastAsia="黑体" w:hAnsi="黑体" w:cs="黑体"/>
        </w:rPr>
      </w:pP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第十七条</w:t>
      </w:r>
      <w:r>
        <w:rPr>
          <w:rFonts w:ascii="仿宋_GB2312" w:hAnsi="仿宋_GB2312" w:cs="仿宋_GB2312" w:hint="eastAsia"/>
        </w:rPr>
        <w:t xml:space="preserve">  </w:t>
      </w:r>
      <w:r>
        <w:rPr>
          <w:rFonts w:ascii="仿宋_GB2312" w:hAnsi="仿宋_GB2312" w:cs="仿宋_GB2312" w:hint="eastAsia"/>
        </w:rPr>
        <w:t>市、县区煤炭主管部门负责煤炭生产加工、煤炭经营监督和煤炭质量管理等工作，并依法开展燃用煤炭质量抽样检查。</w:t>
      </w:r>
    </w:p>
    <w:p w:rsidR="005044EE" w:rsidRDefault="00650F2C">
      <w:pPr>
        <w:spacing w:line="560" w:lineRule="exact"/>
        <w:rPr>
          <w:rFonts w:ascii="仿宋_GB2312" w:hAnsi="仿宋_GB2312" w:cs="仿宋_GB2312"/>
        </w:rPr>
      </w:pPr>
      <w:r>
        <w:rPr>
          <w:rFonts w:ascii="仿宋_GB2312" w:hAnsi="仿宋_GB2312" w:cs="仿宋_GB2312" w:hint="eastAsia"/>
        </w:rPr>
        <w:t xml:space="preserve">　　发展改革部门负责指导能源结构调整和煤炭消费总量控制等工作。</w:t>
      </w:r>
    </w:p>
    <w:p w:rsidR="005044EE" w:rsidRDefault="00650F2C">
      <w:pPr>
        <w:spacing w:line="560" w:lineRule="exact"/>
        <w:rPr>
          <w:rFonts w:ascii="仿宋_GB2312" w:hAnsi="仿宋_GB2312" w:cs="仿宋_GB2312"/>
        </w:rPr>
      </w:pPr>
      <w:r>
        <w:rPr>
          <w:rFonts w:ascii="仿宋_GB2312" w:hAnsi="仿宋_GB2312" w:cs="仿宋_GB2312" w:hint="eastAsia"/>
        </w:rPr>
        <w:t xml:space="preserve">　　经济和信息化部门负责指导工业领域煤炭清洁利用等工作。</w:t>
      </w:r>
    </w:p>
    <w:p w:rsidR="005044EE" w:rsidRDefault="00650F2C">
      <w:pPr>
        <w:spacing w:line="560" w:lineRule="exact"/>
        <w:rPr>
          <w:rFonts w:ascii="仿宋_GB2312" w:hAnsi="仿宋_GB2312" w:cs="仿宋_GB2312"/>
        </w:rPr>
      </w:pPr>
      <w:r>
        <w:rPr>
          <w:rFonts w:ascii="仿宋_GB2312" w:hAnsi="仿宋_GB2312" w:cs="仿宋_GB2312" w:hint="eastAsia"/>
        </w:rPr>
        <w:t xml:space="preserve">　　公安部门负责对妨碍行政机关工作人员执行职务的行为依法予以处罚，负责煤炭运输车辆道路交通安全管理工作。</w:t>
      </w:r>
    </w:p>
    <w:p w:rsidR="005044EE" w:rsidRDefault="00650F2C">
      <w:pPr>
        <w:spacing w:line="560" w:lineRule="exact"/>
        <w:rPr>
          <w:rFonts w:ascii="仿宋_GB2312" w:hAnsi="仿宋_GB2312" w:cs="仿宋_GB2312"/>
        </w:rPr>
      </w:pPr>
      <w:r>
        <w:rPr>
          <w:rFonts w:ascii="仿宋_GB2312" w:hAnsi="仿宋_GB2312" w:cs="仿宋_GB2312" w:hint="eastAsia"/>
        </w:rPr>
        <w:t xml:space="preserve">　　财政部门负责煤炭清洁生产使用监督管理等资金保障工作。</w:t>
      </w:r>
    </w:p>
    <w:p w:rsidR="005044EE" w:rsidRDefault="00650F2C">
      <w:pPr>
        <w:spacing w:line="560" w:lineRule="exact"/>
        <w:ind w:firstLine="675"/>
        <w:rPr>
          <w:rFonts w:ascii="仿宋_GB2312" w:hAnsi="仿宋_GB2312" w:cs="仿宋_GB2312"/>
        </w:rPr>
      </w:pPr>
      <w:r>
        <w:rPr>
          <w:rFonts w:ascii="仿宋_GB2312" w:hAnsi="仿宋_GB2312" w:cs="仿宋_GB2312" w:hint="eastAsia"/>
        </w:rPr>
        <w:t>住房和城乡建设部门、城市管理部门按照各自职责负责城镇范围内单位、居民生活用散煤的清洁</w:t>
      </w:r>
      <w:proofErr w:type="gramStart"/>
      <w:r>
        <w:rPr>
          <w:rFonts w:ascii="仿宋_GB2312" w:hAnsi="仿宋_GB2312" w:cs="仿宋_GB2312" w:hint="eastAsia"/>
        </w:rPr>
        <w:t>化治理</w:t>
      </w:r>
      <w:proofErr w:type="gramEnd"/>
      <w:r>
        <w:rPr>
          <w:rFonts w:ascii="仿宋_GB2312" w:hAnsi="仿宋_GB2312" w:cs="仿宋_GB2312" w:hint="eastAsia"/>
        </w:rPr>
        <w:t>等工作，加快推广集中供热和</w:t>
      </w:r>
      <w:r>
        <w:rPr>
          <w:rFonts w:ascii="仿宋_GB2312" w:hAnsi="仿宋_GB2312" w:cs="仿宋_GB2312" w:hint="eastAsia"/>
        </w:rPr>
        <w:t>以集中供热替代散煤取暖的相关工作。</w:t>
      </w:r>
    </w:p>
    <w:p w:rsidR="005044EE" w:rsidRDefault="00650F2C">
      <w:pPr>
        <w:spacing w:line="560" w:lineRule="exact"/>
        <w:rPr>
          <w:rFonts w:ascii="仿宋_GB2312" w:hAnsi="仿宋_GB2312" w:cs="仿宋_GB2312"/>
        </w:rPr>
      </w:pPr>
      <w:r>
        <w:rPr>
          <w:rFonts w:ascii="仿宋_GB2312" w:hAnsi="仿宋_GB2312" w:cs="仿宋_GB2312" w:hint="eastAsia"/>
        </w:rPr>
        <w:t xml:space="preserve">　　交通运输部门、城市管理部门按照各自职责负责煤炭道路运输行为的监督管理工作，并配合煤炭主管部门防止不符合质量标准的煤炭进入本市市场。</w:t>
      </w:r>
    </w:p>
    <w:p w:rsidR="005044EE" w:rsidRDefault="00650F2C">
      <w:pPr>
        <w:spacing w:line="560" w:lineRule="exact"/>
        <w:rPr>
          <w:rFonts w:ascii="仿宋_GB2312" w:hAnsi="仿宋_GB2312" w:cs="仿宋_GB2312"/>
          <w:b/>
          <w:bCs/>
        </w:rPr>
      </w:pPr>
      <w:r>
        <w:rPr>
          <w:rFonts w:ascii="仿宋_GB2312" w:hAnsi="仿宋_GB2312" w:cs="仿宋_GB2312" w:hint="eastAsia"/>
        </w:rPr>
        <w:t xml:space="preserve">　　环境保护部门负责煤炭燃用单位煤炭使用和储存过程中环境污染监测、监督管理等工作。</w:t>
      </w:r>
    </w:p>
    <w:p w:rsidR="005044EE" w:rsidRDefault="00650F2C">
      <w:pPr>
        <w:spacing w:line="560" w:lineRule="exact"/>
        <w:rPr>
          <w:rFonts w:ascii="仿宋_GB2312" w:hAnsi="仿宋_GB2312" w:cs="仿宋_GB2312"/>
        </w:rPr>
      </w:pPr>
      <w:r>
        <w:rPr>
          <w:rFonts w:ascii="仿宋_GB2312" w:hAnsi="仿宋_GB2312" w:cs="仿宋_GB2312" w:hint="eastAsia"/>
        </w:rPr>
        <w:t xml:space="preserve">　　工商行政管理（市场监督管理）部门负责查处无照经营、超范围经营煤炭及其制品、销售不符合质量标准的煤炭以及在禁燃区内销售原煤等工作。</w:t>
      </w:r>
    </w:p>
    <w:p w:rsidR="005044EE" w:rsidRDefault="00650F2C">
      <w:pPr>
        <w:spacing w:line="560" w:lineRule="exact"/>
        <w:ind w:firstLine="640"/>
        <w:rPr>
          <w:rFonts w:ascii="仿宋_GB2312" w:hAnsi="仿宋_GB2312" w:cs="仿宋_GB2312"/>
        </w:rPr>
      </w:pPr>
      <w:r>
        <w:rPr>
          <w:rFonts w:ascii="仿宋_GB2312" w:hAnsi="仿宋_GB2312" w:cs="仿宋_GB2312" w:hint="eastAsia"/>
        </w:rPr>
        <w:lastRenderedPageBreak/>
        <w:t>质量技术监督（市场监督管理）部门负责对本市煤炭质量要求的审查发布以及煤炭质量检验、检测机构的监督管理等工作。</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第十八条</w:t>
      </w:r>
      <w:r>
        <w:rPr>
          <w:rFonts w:ascii="仿宋_GB2312" w:hAnsi="仿宋_GB2312" w:cs="仿宋_GB2312" w:hint="eastAsia"/>
        </w:rPr>
        <w:t xml:space="preserve">  </w:t>
      </w:r>
      <w:r>
        <w:rPr>
          <w:rFonts w:ascii="仿宋_GB2312" w:hAnsi="仿宋_GB2312" w:cs="仿宋_GB2312" w:hint="eastAsia"/>
        </w:rPr>
        <w:t>煤炭生产企业、煤炭经营企业和重点煤炭燃用单位应当在每年第一季度，向其煤炭主管部门报告上年度煤炭数量、煤炭质量、燃煤排放标准执行情况等信息。</w:t>
      </w:r>
    </w:p>
    <w:p w:rsidR="005044EE" w:rsidRDefault="00650F2C">
      <w:pPr>
        <w:spacing w:line="560" w:lineRule="exact"/>
        <w:rPr>
          <w:rFonts w:ascii="仿宋_GB2312" w:hAnsi="仿宋_GB2312" w:cs="仿宋_GB2312"/>
        </w:rPr>
      </w:pPr>
      <w:r>
        <w:rPr>
          <w:rFonts w:ascii="仿宋_GB2312" w:hAnsi="仿宋_GB2312" w:cs="仿宋_GB2312" w:hint="eastAsia"/>
        </w:rPr>
        <w:t xml:space="preserve">　　除涉及商业秘密的内容外，煤炭主管部门应当向社会公示涉煤企业年度报告信息。</w:t>
      </w:r>
    </w:p>
    <w:p w:rsidR="005044EE" w:rsidRDefault="00650F2C">
      <w:pPr>
        <w:spacing w:line="560" w:lineRule="exact"/>
        <w:ind w:firstLine="631"/>
        <w:rPr>
          <w:rFonts w:ascii="仿宋_GB2312" w:hAnsi="仿宋_GB2312" w:cs="仿宋_GB2312"/>
        </w:rPr>
      </w:pPr>
      <w:r>
        <w:rPr>
          <w:rFonts w:ascii="黑体" w:eastAsia="黑体" w:hAnsi="黑体" w:cs="黑体" w:hint="eastAsia"/>
        </w:rPr>
        <w:t>第十九条</w:t>
      </w:r>
      <w:r>
        <w:rPr>
          <w:rFonts w:ascii="仿宋_GB2312" w:hAnsi="仿宋_GB2312" w:cs="仿宋_GB2312" w:hint="eastAsia"/>
        </w:rPr>
        <w:t xml:space="preserve">  </w:t>
      </w:r>
      <w:r>
        <w:rPr>
          <w:rFonts w:ascii="仿宋_GB2312" w:hAnsi="仿宋_GB2312" w:cs="仿宋_GB2312" w:hint="eastAsia"/>
        </w:rPr>
        <w:t>煤炭主管部门可以委托有资质的第三方实施煤炭质量抽样检测，检测所需费用由本级财政予以保障。</w:t>
      </w:r>
    </w:p>
    <w:p w:rsidR="005044EE" w:rsidRDefault="00650F2C">
      <w:pPr>
        <w:spacing w:line="560" w:lineRule="exact"/>
        <w:ind w:firstLine="631"/>
        <w:rPr>
          <w:rFonts w:ascii="仿宋_GB2312" w:hAnsi="仿宋_GB2312" w:cs="仿宋_GB2312"/>
        </w:rPr>
      </w:pPr>
      <w:r>
        <w:rPr>
          <w:rFonts w:ascii="仿宋_GB2312" w:hAnsi="仿宋_GB2312" w:cs="仿宋_GB2312" w:hint="eastAsia"/>
        </w:rPr>
        <w:t xml:space="preserve">　　　　</w:t>
      </w:r>
    </w:p>
    <w:p w:rsidR="005044EE" w:rsidRDefault="00650F2C">
      <w:pPr>
        <w:numPr>
          <w:ilvl w:val="0"/>
          <w:numId w:val="1"/>
        </w:numPr>
        <w:spacing w:line="560" w:lineRule="exact"/>
        <w:jc w:val="center"/>
        <w:rPr>
          <w:rFonts w:ascii="黑体" w:eastAsia="黑体" w:hAnsi="黑体" w:cs="黑体"/>
        </w:rPr>
      </w:pPr>
      <w:r>
        <w:rPr>
          <w:rFonts w:ascii="黑体" w:eastAsia="黑体" w:hAnsi="黑体" w:cs="黑体" w:hint="eastAsia"/>
        </w:rPr>
        <w:t xml:space="preserve"> </w:t>
      </w:r>
      <w:r>
        <w:rPr>
          <w:rFonts w:ascii="黑体" w:eastAsia="黑体" w:hAnsi="黑体" w:cs="黑体" w:hint="eastAsia"/>
        </w:rPr>
        <w:t>法律责任</w:t>
      </w:r>
    </w:p>
    <w:p w:rsidR="005044EE" w:rsidRDefault="005044EE">
      <w:pPr>
        <w:spacing w:line="560" w:lineRule="exact"/>
        <w:rPr>
          <w:rFonts w:ascii="黑体" w:eastAsia="黑体" w:hAnsi="黑体" w:cs="黑体"/>
        </w:rPr>
      </w:pP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第二十条</w:t>
      </w:r>
      <w:r>
        <w:rPr>
          <w:rFonts w:ascii="仿宋_GB2312" w:hAnsi="仿宋_GB2312" w:cs="仿宋_GB2312" w:hint="eastAsia"/>
        </w:rPr>
        <w:t xml:space="preserve">  </w:t>
      </w:r>
      <w:r>
        <w:rPr>
          <w:rFonts w:ascii="仿宋_GB2312" w:hAnsi="仿宋_GB2312" w:cs="仿宋_GB2312" w:hint="eastAsia"/>
        </w:rPr>
        <w:t>违反本条例规定，拒不接受煤炭主管部门监督检查，或者在接受监督检查时弄虚作假的，由市、县区人民政府煤炭主管部门责令限期改正，并处二万元以上二十</w:t>
      </w:r>
      <w:r>
        <w:rPr>
          <w:rFonts w:ascii="仿宋_GB2312" w:hAnsi="仿宋_GB2312" w:cs="仿宋_GB2312" w:hint="eastAsia"/>
        </w:rPr>
        <w:t>万元以下的罚款。</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第二十一条</w:t>
      </w:r>
      <w:r>
        <w:rPr>
          <w:rFonts w:ascii="仿宋_GB2312" w:hAnsi="仿宋_GB2312" w:cs="仿宋_GB2312" w:hint="eastAsia"/>
        </w:rPr>
        <w:t xml:space="preserve">  </w:t>
      </w:r>
      <w:r>
        <w:rPr>
          <w:rFonts w:ascii="仿宋_GB2312" w:hAnsi="仿宋_GB2312" w:cs="仿宋_GB2312" w:hint="eastAsia"/>
        </w:rPr>
        <w:t>违反本条例规定，经营性储煤场地有下列行为之一的，由市、县区人民政府煤炭主管部门责令改正，并处一万元以上三万元以下的罚款；拒不改正的，责令停业整治：</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仿宋_GB2312" w:hAnsi="仿宋_GB2312" w:cs="仿宋_GB2312" w:hint="eastAsia"/>
        </w:rPr>
        <w:t>（一）</w:t>
      </w:r>
      <w:r>
        <w:rPr>
          <w:rFonts w:ascii="仿宋_GB2312" w:hAnsi="仿宋_GB2312" w:cs="仿宋_GB2312" w:hint="eastAsia"/>
        </w:rPr>
        <w:t xml:space="preserve"> </w:t>
      </w:r>
      <w:r>
        <w:rPr>
          <w:rFonts w:ascii="仿宋_GB2312" w:hAnsi="仿宋_GB2312" w:cs="仿宋_GB2312" w:hint="eastAsia"/>
        </w:rPr>
        <w:t>未按照要求进行地面和道路硬化的；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仿宋_GB2312" w:hAnsi="仿宋_GB2312" w:cs="仿宋_GB2312" w:hint="eastAsia"/>
        </w:rPr>
        <w:t>（二）</w:t>
      </w:r>
      <w:r>
        <w:rPr>
          <w:rFonts w:ascii="仿宋_GB2312" w:hAnsi="仿宋_GB2312" w:cs="仿宋_GB2312" w:hint="eastAsia"/>
        </w:rPr>
        <w:t xml:space="preserve"> </w:t>
      </w:r>
      <w:r>
        <w:rPr>
          <w:rFonts w:ascii="仿宋_GB2312" w:hAnsi="仿宋_GB2312" w:cs="仿宋_GB2312" w:hint="eastAsia"/>
        </w:rPr>
        <w:t>未设置挡风</w:t>
      </w:r>
      <w:proofErr w:type="gramStart"/>
      <w:r>
        <w:rPr>
          <w:rFonts w:ascii="仿宋_GB2312" w:hAnsi="仿宋_GB2312" w:cs="仿宋_GB2312" w:hint="eastAsia"/>
        </w:rPr>
        <w:t>抑尘墙或者防风抑</w:t>
      </w:r>
      <w:proofErr w:type="gramEnd"/>
      <w:r>
        <w:rPr>
          <w:rFonts w:ascii="仿宋_GB2312" w:hAnsi="仿宋_GB2312" w:cs="仿宋_GB2312" w:hint="eastAsia"/>
        </w:rPr>
        <w:t>尘网的；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仿宋_GB2312" w:hAnsi="仿宋_GB2312" w:cs="仿宋_GB2312" w:hint="eastAsia"/>
        </w:rPr>
        <w:t>（三）</w:t>
      </w:r>
      <w:r>
        <w:rPr>
          <w:rFonts w:ascii="仿宋_GB2312" w:hAnsi="仿宋_GB2312" w:cs="仿宋_GB2312" w:hint="eastAsia"/>
        </w:rPr>
        <w:t xml:space="preserve"> </w:t>
      </w:r>
      <w:r>
        <w:rPr>
          <w:rFonts w:ascii="仿宋_GB2312" w:hAnsi="仿宋_GB2312" w:cs="仿宋_GB2312" w:hint="eastAsia"/>
        </w:rPr>
        <w:t>未安装固定式或者</w:t>
      </w:r>
      <w:proofErr w:type="gramStart"/>
      <w:r>
        <w:rPr>
          <w:rFonts w:ascii="仿宋_GB2312" w:hAnsi="仿宋_GB2312" w:cs="仿宋_GB2312" w:hint="eastAsia"/>
        </w:rPr>
        <w:t>移动式抑尘自动</w:t>
      </w:r>
      <w:proofErr w:type="gramEnd"/>
      <w:r>
        <w:rPr>
          <w:rFonts w:ascii="仿宋_GB2312" w:hAnsi="仿宋_GB2312" w:cs="仿宋_GB2312" w:hint="eastAsia"/>
        </w:rPr>
        <w:t>喷淋装置的；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仿宋_GB2312" w:hAnsi="仿宋_GB2312" w:cs="仿宋_GB2312" w:hint="eastAsia"/>
        </w:rPr>
        <w:t>（四）</w:t>
      </w:r>
      <w:r>
        <w:rPr>
          <w:rFonts w:ascii="仿宋_GB2312" w:hAnsi="仿宋_GB2312" w:cs="仿宋_GB2312" w:hint="eastAsia"/>
        </w:rPr>
        <w:t xml:space="preserve"> </w:t>
      </w:r>
      <w:r>
        <w:rPr>
          <w:rFonts w:ascii="仿宋_GB2312" w:hAnsi="仿宋_GB2312" w:cs="仿宋_GB2312" w:hint="eastAsia"/>
        </w:rPr>
        <w:t>未设置运输车辆进出清洗设备的；</w:t>
      </w:r>
    </w:p>
    <w:p w:rsidR="005044EE" w:rsidRDefault="00650F2C">
      <w:pPr>
        <w:spacing w:line="560" w:lineRule="exact"/>
        <w:ind w:firstLine="645"/>
        <w:rPr>
          <w:rFonts w:ascii="仿宋_GB2312" w:hAnsi="仿宋_GB2312" w:cs="仿宋_GB2312"/>
        </w:rPr>
      </w:pPr>
      <w:r>
        <w:rPr>
          <w:rFonts w:ascii="仿宋_GB2312" w:hAnsi="仿宋_GB2312" w:cs="仿宋_GB2312" w:hint="eastAsia"/>
        </w:rPr>
        <w:lastRenderedPageBreak/>
        <w:t>（五）</w:t>
      </w:r>
      <w:r>
        <w:rPr>
          <w:rFonts w:ascii="仿宋_GB2312" w:hAnsi="仿宋_GB2312" w:cs="仿宋_GB2312" w:hint="eastAsia"/>
        </w:rPr>
        <w:t xml:space="preserve"> </w:t>
      </w:r>
      <w:r>
        <w:rPr>
          <w:rFonts w:ascii="仿宋_GB2312" w:hAnsi="仿宋_GB2312" w:cs="仿宋_GB2312" w:hint="eastAsia"/>
        </w:rPr>
        <w:t>未配备排水沉淀设施的；</w:t>
      </w:r>
    </w:p>
    <w:p w:rsidR="005044EE" w:rsidRDefault="00650F2C">
      <w:pPr>
        <w:spacing w:line="560" w:lineRule="exact"/>
        <w:ind w:firstLine="645"/>
        <w:rPr>
          <w:rFonts w:ascii="仿宋_GB2312" w:hAnsi="仿宋_GB2312" w:cs="仿宋_GB2312"/>
        </w:rPr>
      </w:pPr>
      <w:r>
        <w:rPr>
          <w:rFonts w:ascii="仿宋_GB2312" w:hAnsi="仿宋_GB2312" w:cs="仿宋_GB2312" w:hint="eastAsia"/>
        </w:rPr>
        <w:t>（六）</w:t>
      </w:r>
      <w:r>
        <w:rPr>
          <w:rFonts w:ascii="仿宋_GB2312" w:hAnsi="仿宋_GB2312" w:cs="仿宋_GB2312" w:hint="eastAsia"/>
        </w:rPr>
        <w:t xml:space="preserve"> </w:t>
      </w:r>
      <w:r>
        <w:rPr>
          <w:rFonts w:ascii="仿宋_GB2312" w:hAnsi="仿宋_GB2312" w:cs="仿宋_GB2312" w:hint="eastAsia"/>
        </w:rPr>
        <w:t>未采取防燃措施的。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第二十二条</w:t>
      </w:r>
      <w:r>
        <w:rPr>
          <w:rFonts w:ascii="仿宋_GB2312" w:hAnsi="仿宋_GB2312" w:cs="仿宋_GB2312" w:hint="eastAsia"/>
        </w:rPr>
        <w:t xml:space="preserve">  </w:t>
      </w:r>
      <w:r>
        <w:rPr>
          <w:rFonts w:ascii="仿宋_GB2312" w:hAnsi="仿宋_GB2312" w:cs="仿宋_GB2312" w:hint="eastAsia"/>
        </w:rPr>
        <w:t>违反本条例规定，在布点规划之外擅</w:t>
      </w:r>
      <w:r>
        <w:rPr>
          <w:rFonts w:ascii="仿宋_GB2312" w:hAnsi="仿宋_GB2312" w:cs="仿宋_GB2312" w:hint="eastAsia"/>
        </w:rPr>
        <w:t>自设立经营性储煤场地违法经营的，由市、县区人民政府依法予以取缔。</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第二十三条</w:t>
      </w:r>
      <w:r>
        <w:rPr>
          <w:rFonts w:ascii="仿宋_GB2312" w:hAnsi="仿宋_GB2312" w:cs="仿宋_GB2312" w:hint="eastAsia"/>
        </w:rPr>
        <w:t xml:space="preserve">  </w:t>
      </w:r>
      <w:r>
        <w:rPr>
          <w:rFonts w:ascii="仿宋_GB2312" w:hAnsi="仿宋_GB2312" w:cs="仿宋_GB2312" w:hint="eastAsia"/>
        </w:rPr>
        <w:t>违反本条例规定，煤炭运输车辆未按照规定采取密闭措施的，在运输过程中遗撒、泄漏煤炭的，由市、县区人民政府交通运输部门、城市管理部门按照职责责令改正，并处二千元以上二万元以下的罚款；拒不改正的，车辆不得</w:t>
      </w:r>
      <w:proofErr w:type="gramStart"/>
      <w:r>
        <w:rPr>
          <w:rFonts w:ascii="仿宋_GB2312" w:hAnsi="仿宋_GB2312" w:cs="仿宋_GB2312" w:hint="eastAsia"/>
        </w:rPr>
        <w:t>上道路</w:t>
      </w:r>
      <w:proofErr w:type="gramEnd"/>
      <w:r>
        <w:rPr>
          <w:rFonts w:ascii="仿宋_GB2312" w:hAnsi="仿宋_GB2312" w:cs="仿宋_GB2312" w:hint="eastAsia"/>
        </w:rPr>
        <w:t>行驶。</w:t>
      </w:r>
    </w:p>
    <w:p w:rsidR="005044EE" w:rsidRDefault="00650F2C">
      <w:pPr>
        <w:spacing w:line="560" w:lineRule="exact"/>
        <w:rPr>
          <w:rFonts w:ascii="仿宋_GB2312" w:hAnsi="仿宋_GB2312" w:cs="仿宋_GB2312"/>
          <w:highlight w:val="yellow"/>
        </w:rPr>
      </w:pPr>
      <w:r>
        <w:rPr>
          <w:rFonts w:ascii="仿宋_GB2312" w:hAnsi="仿宋_GB2312" w:cs="仿宋_GB2312" w:hint="eastAsia"/>
        </w:rPr>
        <w:t xml:space="preserve">    </w:t>
      </w:r>
      <w:r>
        <w:rPr>
          <w:rFonts w:ascii="黑体" w:eastAsia="黑体" w:hAnsi="黑体" w:cs="黑体" w:hint="eastAsia"/>
        </w:rPr>
        <w:t>第二十四条</w:t>
      </w:r>
      <w:r>
        <w:rPr>
          <w:rFonts w:ascii="仿宋_GB2312" w:hAnsi="仿宋_GB2312" w:cs="仿宋_GB2312" w:hint="eastAsia"/>
        </w:rPr>
        <w:t xml:space="preserve">  </w:t>
      </w:r>
      <w:r>
        <w:rPr>
          <w:rFonts w:ascii="仿宋_GB2312" w:hAnsi="仿宋_GB2312" w:cs="仿宋_GB2312" w:hint="eastAsia"/>
        </w:rPr>
        <w:t>违反本条例规定，经抽样检测，煤炭生产企业、煤炭经营企业煤质达不到国家或者行业标准，煤炭燃用单位煤质达不到本市质量要求的，由市、县区人民政府煤炭主管部门责令限期整改，给予通报，并移交相关负有监督管理职责的部门依法处理。</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第二十五条</w:t>
      </w:r>
      <w:r>
        <w:rPr>
          <w:rFonts w:ascii="仿宋_GB2312" w:hAnsi="仿宋_GB2312" w:cs="仿宋_GB2312" w:hint="eastAsia"/>
        </w:rPr>
        <w:t xml:space="preserve">  </w:t>
      </w:r>
      <w:r>
        <w:rPr>
          <w:rFonts w:ascii="仿宋_GB2312" w:hAnsi="仿宋_GB2312" w:cs="仿宋_GB2312" w:hint="eastAsia"/>
        </w:rPr>
        <w:t>违反本条例规定，销售不符合国家或者行业标准的煤炭或者在禁燃区内销售原煤的，由市、县区工商行政管理（市场监督管理）部门责令停止销售、没收煤炭及其制品，责令其承担被罚没产品的无害化处理费用，</w:t>
      </w:r>
      <w:proofErr w:type="gramStart"/>
      <w:r>
        <w:rPr>
          <w:rFonts w:ascii="仿宋_GB2312" w:hAnsi="仿宋_GB2312" w:cs="仿宋_GB2312" w:hint="eastAsia"/>
        </w:rPr>
        <w:t>并处货值</w:t>
      </w:r>
      <w:proofErr w:type="gramEnd"/>
      <w:r>
        <w:rPr>
          <w:rFonts w:ascii="仿宋_GB2312" w:hAnsi="仿宋_GB2312" w:cs="仿宋_GB2312" w:hint="eastAsia"/>
        </w:rPr>
        <w:t>金额一倍以上三倍以下的罚款；有违法所得的，并处没收违法所得；情节严重的，吊</w:t>
      </w:r>
      <w:r>
        <w:rPr>
          <w:rFonts w:ascii="仿宋_GB2312" w:hAnsi="仿宋_GB2312" w:cs="仿宋_GB2312" w:hint="eastAsia"/>
        </w:rPr>
        <w:t>销营业执照；构成犯罪的，依法追究刑事责任。</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第二十六条</w:t>
      </w:r>
      <w:r>
        <w:rPr>
          <w:rFonts w:ascii="仿宋_GB2312" w:hAnsi="仿宋_GB2312" w:cs="仿宋_GB2312" w:hint="eastAsia"/>
        </w:rPr>
        <w:t xml:space="preserve">  </w:t>
      </w:r>
      <w:r>
        <w:rPr>
          <w:rFonts w:ascii="仿宋_GB2312" w:hAnsi="仿宋_GB2312" w:cs="仿宋_GB2312" w:hint="eastAsia"/>
        </w:rPr>
        <w:t>违反本条例规定，单位燃用不符合本市质量要求煤炭的，由市、县区人民政府环境保护部门责令改正，</w:t>
      </w:r>
      <w:proofErr w:type="gramStart"/>
      <w:r>
        <w:rPr>
          <w:rFonts w:ascii="仿宋_GB2312" w:hAnsi="仿宋_GB2312" w:cs="仿宋_GB2312" w:hint="eastAsia"/>
        </w:rPr>
        <w:t>并处货值</w:t>
      </w:r>
      <w:proofErr w:type="gramEnd"/>
      <w:r>
        <w:rPr>
          <w:rFonts w:ascii="仿宋_GB2312" w:hAnsi="仿宋_GB2312" w:cs="仿宋_GB2312" w:hint="eastAsia"/>
        </w:rPr>
        <w:t>金额一倍以上三倍以下的罚款。</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r>
        <w:rPr>
          <w:rFonts w:ascii="黑体" w:eastAsia="黑体" w:hAnsi="黑体" w:cs="黑体" w:hint="eastAsia"/>
        </w:rPr>
        <w:t>第二十七条</w:t>
      </w:r>
      <w:r>
        <w:rPr>
          <w:rFonts w:ascii="仿宋_GB2312" w:hAnsi="仿宋_GB2312" w:cs="仿宋_GB2312" w:hint="eastAsia"/>
        </w:rPr>
        <w:t xml:space="preserve">  </w:t>
      </w:r>
      <w:r>
        <w:rPr>
          <w:rFonts w:ascii="仿宋_GB2312" w:hAnsi="仿宋_GB2312" w:cs="仿宋_GB2312" w:hint="eastAsia"/>
        </w:rPr>
        <w:t>违反本条例规定，生产和使用煤炭的企业有下列</w:t>
      </w:r>
      <w:r>
        <w:rPr>
          <w:rFonts w:ascii="仿宋_GB2312" w:hAnsi="仿宋_GB2312" w:cs="仿宋_GB2312" w:hint="eastAsia"/>
        </w:rPr>
        <w:lastRenderedPageBreak/>
        <w:t>行为之一的，由市、县区人民政府环境保护部门或者其他负有监督管理职责的部门责令限期改正，并处一万元以上十万元以下的罚款；拒不改正的，责令停业整治：</w:t>
      </w:r>
    </w:p>
    <w:p w:rsidR="005044EE" w:rsidRDefault="00650F2C">
      <w:pPr>
        <w:spacing w:line="560" w:lineRule="exact"/>
        <w:rPr>
          <w:rFonts w:ascii="仿宋_GB2312" w:hAnsi="仿宋_GB2312" w:cs="仿宋_GB2312"/>
        </w:rPr>
      </w:pPr>
      <w:r>
        <w:rPr>
          <w:rFonts w:ascii="仿宋_GB2312" w:hAnsi="仿宋_GB2312" w:cs="仿宋_GB2312" w:hint="eastAsia"/>
        </w:rPr>
        <w:t xml:space="preserve">　　（一）未密闭贮存煤炭的；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（二）不具备密闭条件未设置不低于煤堆高度的严密围挡，或者未采取有效覆盖措施</w:t>
      </w:r>
      <w:r>
        <w:rPr>
          <w:rFonts w:ascii="仿宋_GB2312" w:hAnsi="仿宋_GB2312" w:cs="仿宋_GB2312" w:hint="eastAsia"/>
        </w:rPr>
        <w:t>防治煤粉尘污染的；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（三）装卸煤炭未采取密闭或者喷淋等方式控制煤粉尘排放的；</w:t>
      </w:r>
    </w:p>
    <w:p w:rsidR="005044EE" w:rsidRDefault="00650F2C">
      <w:pPr>
        <w:spacing w:line="560" w:lineRule="exact"/>
        <w:rPr>
          <w:rFonts w:ascii="仿宋_GB2312" w:hAnsi="仿宋_GB2312" w:cs="仿宋_GB2312"/>
        </w:rPr>
      </w:pPr>
      <w:r>
        <w:rPr>
          <w:rFonts w:ascii="仿宋_GB2312" w:hAnsi="仿宋_GB2312" w:cs="仿宋_GB2312" w:hint="eastAsia"/>
        </w:rPr>
        <w:t xml:space="preserve">　　（四）存放煤炭未采取防燃措施的。</w:t>
      </w:r>
    </w:p>
    <w:p w:rsidR="005044EE" w:rsidRDefault="00650F2C">
      <w:pPr>
        <w:spacing w:line="560" w:lineRule="exact"/>
        <w:rPr>
          <w:rFonts w:ascii="仿宋_GB2312" w:hAnsi="仿宋_GB2312" w:cs="仿宋_GB2312"/>
          <w:highlight w:val="yellow"/>
        </w:rPr>
      </w:pPr>
      <w:r>
        <w:rPr>
          <w:rFonts w:ascii="仿宋_GB2312" w:hAnsi="仿宋_GB2312" w:cs="仿宋_GB2312" w:hint="eastAsia"/>
        </w:rPr>
        <w:t xml:space="preserve">    </w:t>
      </w:r>
      <w:r>
        <w:rPr>
          <w:rFonts w:ascii="黑体" w:eastAsia="黑体" w:hAnsi="黑体" w:cs="黑体" w:hint="eastAsia"/>
        </w:rPr>
        <w:t>第二十八条</w:t>
      </w:r>
      <w:r>
        <w:rPr>
          <w:rFonts w:ascii="仿宋_GB2312" w:hAnsi="仿宋_GB2312" w:cs="仿宋_GB2312" w:hint="eastAsia"/>
        </w:rPr>
        <w:t xml:space="preserve">  </w:t>
      </w:r>
      <w:r>
        <w:rPr>
          <w:rFonts w:ascii="仿宋_GB2312" w:hAnsi="仿宋_GB2312" w:cs="仿宋_GB2312" w:hint="eastAsia"/>
        </w:rPr>
        <w:t>违反本条例规定，煤炭燃用单位未按照要求建立煤炭使用台</w:t>
      </w:r>
      <w:proofErr w:type="gramStart"/>
      <w:r>
        <w:rPr>
          <w:rFonts w:ascii="仿宋_GB2312" w:hAnsi="仿宋_GB2312" w:cs="仿宋_GB2312" w:hint="eastAsia"/>
        </w:rPr>
        <w:t>账或者</w:t>
      </w:r>
      <w:proofErr w:type="gramEnd"/>
      <w:r>
        <w:rPr>
          <w:rFonts w:ascii="仿宋_GB2312" w:hAnsi="仿宋_GB2312" w:cs="仿宋_GB2312" w:hint="eastAsia"/>
        </w:rPr>
        <w:t>未按时报告炉前煤质检测信息的，由其煤炭主管部门责令改正；拒不改正的，列入违法失信名单并向社会公示。</w:t>
      </w:r>
    </w:p>
    <w:p w:rsidR="005044EE" w:rsidRDefault="00650F2C">
      <w:pPr>
        <w:spacing w:line="560" w:lineRule="exact"/>
        <w:ind w:firstLine="640"/>
        <w:rPr>
          <w:rFonts w:ascii="仿宋_GB2312" w:hAnsi="仿宋_GB2312" w:cs="仿宋_GB2312"/>
        </w:rPr>
      </w:pPr>
      <w:r>
        <w:rPr>
          <w:rFonts w:ascii="黑体" w:eastAsia="黑体" w:hAnsi="黑体" w:cs="黑体" w:hint="eastAsia"/>
        </w:rPr>
        <w:t>第二十九条</w:t>
      </w:r>
      <w:r>
        <w:rPr>
          <w:rFonts w:ascii="仿宋_GB2312" w:hAnsi="仿宋_GB2312" w:cs="仿宋_GB2312" w:hint="eastAsia"/>
        </w:rPr>
        <w:t xml:space="preserve">  </w:t>
      </w:r>
      <w:r>
        <w:rPr>
          <w:rFonts w:ascii="仿宋_GB2312" w:hAnsi="仿宋_GB2312" w:cs="仿宋_GB2312" w:hint="eastAsia"/>
        </w:rPr>
        <w:t>违反本条例规定，市、县区人民政府煤炭主管部门和其他负有煤炭清洁生产使用监督管理职责的部门及其工作人员滥用职权、玩忽职守、徇私舞弊的，依法给予处分；构成犯罪的，依法追究刑事责任。</w:t>
      </w:r>
    </w:p>
    <w:p w:rsidR="005044EE" w:rsidRDefault="005044EE">
      <w:pPr>
        <w:spacing w:line="560" w:lineRule="exact"/>
        <w:ind w:firstLine="640"/>
        <w:rPr>
          <w:rFonts w:ascii="仿宋_GB2312" w:hAnsi="仿宋_GB2312" w:cs="仿宋_GB2312"/>
        </w:rPr>
      </w:pPr>
    </w:p>
    <w:p w:rsidR="005044EE" w:rsidRDefault="00650F2C">
      <w:pPr>
        <w:spacing w:line="560" w:lineRule="exact"/>
        <w:jc w:val="center"/>
        <w:rPr>
          <w:rFonts w:ascii="黑体" w:eastAsia="黑体" w:hAnsi="黑体" w:cs="黑体"/>
        </w:rPr>
      </w:pPr>
      <w:r>
        <w:rPr>
          <w:rFonts w:ascii="黑体" w:eastAsia="黑体" w:hAnsi="黑体" w:cs="黑体" w:hint="eastAsia"/>
        </w:rPr>
        <w:t>第六章</w:t>
      </w:r>
      <w:r>
        <w:rPr>
          <w:rFonts w:ascii="黑体" w:eastAsia="黑体" w:hAnsi="黑体" w:cs="黑体" w:hint="eastAsia"/>
        </w:rPr>
        <w:t xml:space="preserve">  </w:t>
      </w:r>
      <w:r>
        <w:rPr>
          <w:rFonts w:ascii="黑体" w:eastAsia="黑体" w:hAnsi="黑体" w:cs="黑体" w:hint="eastAsia"/>
        </w:rPr>
        <w:t>附则</w:t>
      </w:r>
    </w:p>
    <w:p w:rsidR="005044EE" w:rsidRDefault="00650F2C">
      <w:pPr>
        <w:spacing w:line="560" w:lineRule="exact"/>
        <w:rPr>
          <w:rFonts w:ascii="仿宋_GB2312" w:hAnsi="仿宋_GB2312" w:cs="仿宋_GB2312"/>
        </w:rPr>
      </w:pPr>
      <w:r>
        <w:rPr>
          <w:rFonts w:ascii="仿宋_GB2312" w:hAnsi="仿宋_GB2312" w:cs="仿宋_GB2312" w:hint="eastAsia"/>
        </w:rPr>
        <w:t xml:space="preserve">　　</w:t>
      </w:r>
      <w:bookmarkStart w:id="0" w:name="_GoBack"/>
      <w:bookmarkEnd w:id="0"/>
    </w:p>
    <w:p w:rsidR="005044EE" w:rsidRDefault="00650F2C">
      <w:pPr>
        <w:spacing w:line="560" w:lineRule="exact"/>
        <w:rPr>
          <w:rFonts w:ascii="宋体" w:eastAsia="宋体" w:hAnsi="宋体" w:cs="宋体"/>
        </w:rPr>
      </w:pPr>
      <w:r>
        <w:rPr>
          <w:rFonts w:ascii="仿宋_GB2312" w:hAnsi="仿宋_GB2312" w:cs="仿宋_GB2312" w:hint="eastAsia"/>
        </w:rPr>
        <w:t xml:space="preserve">    </w:t>
      </w:r>
      <w:r>
        <w:rPr>
          <w:rFonts w:ascii="黑体" w:eastAsia="黑体" w:hAnsi="黑体" w:cs="黑体" w:hint="eastAsia"/>
        </w:rPr>
        <w:t>第三十条</w:t>
      </w:r>
      <w:r>
        <w:rPr>
          <w:rFonts w:ascii="仿宋_GB2312" w:hAnsi="仿宋_GB2312" w:cs="仿宋_GB2312" w:hint="eastAsia"/>
        </w:rPr>
        <w:t xml:space="preserve">  </w:t>
      </w:r>
      <w:r>
        <w:rPr>
          <w:rFonts w:ascii="仿宋_GB2312" w:hAnsi="仿宋_GB2312" w:cs="仿宋_GB2312" w:hint="eastAsia"/>
        </w:rPr>
        <w:t>本条例自</w:t>
      </w:r>
      <w:r>
        <w:rPr>
          <w:rFonts w:ascii="仿宋_GB2312" w:hAnsi="仿宋_GB2312" w:cs="仿宋_GB2312" w:hint="eastAsia"/>
        </w:rPr>
        <w:t>2017</w:t>
      </w:r>
      <w:r>
        <w:rPr>
          <w:rFonts w:ascii="仿宋_GB2312" w:hAnsi="仿宋_GB2312" w:cs="仿宋_GB2312" w:hint="eastAsia"/>
        </w:rPr>
        <w:t>年</w:t>
      </w:r>
      <w:r>
        <w:rPr>
          <w:rFonts w:ascii="仿宋_GB2312" w:hAnsi="仿宋_GB2312" w:cs="仿宋_GB2312" w:hint="eastAsia"/>
        </w:rPr>
        <w:t>3</w:t>
      </w:r>
      <w:r>
        <w:rPr>
          <w:rFonts w:ascii="仿宋_GB2312" w:hAnsi="仿宋_GB2312" w:cs="仿宋_GB2312" w:hint="eastAsia"/>
        </w:rPr>
        <w:t>月</w:t>
      </w:r>
      <w:r>
        <w:rPr>
          <w:rFonts w:ascii="仿宋_GB2312" w:hAnsi="仿宋_GB2312" w:cs="仿宋_GB2312" w:hint="eastAsia"/>
        </w:rPr>
        <w:t>1</w:t>
      </w:r>
      <w:r>
        <w:rPr>
          <w:rFonts w:ascii="仿宋_GB2312" w:hAnsi="仿宋_GB2312" w:cs="仿宋_GB2312" w:hint="eastAsia"/>
        </w:rPr>
        <w:t>日起施行。</w:t>
      </w:r>
    </w:p>
    <w:sectPr w:rsidR="005044EE">
      <w:headerReference w:type="default" r:id="rId9"/>
      <w:footerReference w:type="even" r:id="rId10"/>
      <w:footerReference w:type="default" r:id="rId11"/>
      <w:pgSz w:w="11906" w:h="16838"/>
      <w:pgMar w:top="2098" w:right="1247" w:bottom="1928" w:left="1531" w:header="851" w:footer="1531" w:gutter="0"/>
      <w:pgNumType w:fmt="numberInDash"/>
      <w:cols w:space="0"/>
      <w:docGrid w:type="lines" w:linePitch="5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F2C" w:rsidRDefault="00650F2C">
      <w:r>
        <w:separator/>
      </w:r>
    </w:p>
  </w:endnote>
  <w:endnote w:type="continuationSeparator" w:id="0">
    <w:p w:rsidR="00650F2C" w:rsidRDefault="0065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文星简小标宋">
    <w:altName w:val="宋体"/>
    <w:charset w:val="86"/>
    <w:family w:val="modern"/>
    <w:pitch w:val="default"/>
    <w:sig w:usb0="00000001" w:usb1="080E0000" w:usb2="00000010" w:usb3="00000000" w:csb0="00040000" w:csb1="00000000"/>
  </w:font>
  <w:font w:name="ˎ̥">
    <w:altName w:val="Times New Roman"/>
    <w:charset w:val="00"/>
    <w:family w:val="roman"/>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华文仿宋">
    <w:altName w:val="仿宋"/>
    <w:panose1 w:val="02010600040101010101"/>
    <w:charset w:val="86"/>
    <w:family w:val="auto"/>
    <w:pitch w:val="variable"/>
    <w:sig w:usb0="00000287" w:usb1="080F0000" w:usb2="00000010" w:usb3="00000000" w:csb0="0004009F" w:csb1="00000000"/>
  </w:font>
  <w:font w:name="方正书宋简体">
    <w:altName w:val="宋体"/>
    <w:charset w:val="86"/>
    <w:family w:val="script"/>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4EE" w:rsidRDefault="00650F2C">
    <w:pPr>
      <w:pStyle w:val="a9"/>
      <w:framePr w:wrap="around" w:vAnchor="text" w:hAnchor="margin" w:xAlign="outside" w:y="1"/>
      <w:rPr>
        <w:rStyle w:val="af"/>
      </w:rPr>
    </w:pPr>
    <w:r>
      <w:rPr>
        <w:rStyle w:val="af"/>
      </w:rPr>
      <w:fldChar w:fldCharType="begin"/>
    </w:r>
    <w:r>
      <w:rPr>
        <w:rStyle w:val="af"/>
      </w:rPr>
      <w:instrText xml:space="preserve">PAGE  </w:instrText>
    </w:r>
    <w:r>
      <w:rPr>
        <w:rStyle w:val="af"/>
      </w:rPr>
      <w:fldChar w:fldCharType="end"/>
    </w:r>
  </w:p>
  <w:p w:rsidR="005044EE" w:rsidRDefault="005044EE">
    <w:pPr>
      <w:pStyle w:val="a9"/>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4EE" w:rsidRDefault="00650F2C">
    <w:pPr>
      <w:pStyle w:val="a9"/>
      <w:framePr w:wrap="around" w:vAnchor="text" w:hAnchor="margin" w:xAlign="outside" w:y="1"/>
      <w:rPr>
        <w:rStyle w:val="af"/>
        <w:rFonts w:ascii="宋体" w:eastAsia="宋体" w:hAnsi="宋体"/>
        <w:sz w:val="28"/>
        <w:szCs w:val="28"/>
      </w:rPr>
    </w:pPr>
    <w:r>
      <w:rPr>
        <w:rStyle w:val="af"/>
        <w:rFonts w:ascii="宋体" w:eastAsia="宋体" w:hAnsi="宋体"/>
        <w:sz w:val="28"/>
        <w:szCs w:val="28"/>
      </w:rPr>
      <w:fldChar w:fldCharType="begin"/>
    </w:r>
    <w:r>
      <w:rPr>
        <w:rStyle w:val="af"/>
        <w:rFonts w:ascii="宋体" w:eastAsia="宋体" w:hAnsi="宋体"/>
        <w:sz w:val="28"/>
        <w:szCs w:val="28"/>
      </w:rPr>
      <w:instrText xml:space="preserve">PAGE  </w:instrText>
    </w:r>
    <w:r>
      <w:rPr>
        <w:rStyle w:val="af"/>
        <w:rFonts w:ascii="宋体" w:eastAsia="宋体" w:hAnsi="宋体"/>
        <w:sz w:val="28"/>
        <w:szCs w:val="28"/>
      </w:rPr>
      <w:fldChar w:fldCharType="separate"/>
    </w:r>
    <w:r w:rsidR="0058203A">
      <w:rPr>
        <w:rStyle w:val="af"/>
        <w:rFonts w:ascii="宋体" w:eastAsia="宋体" w:hAnsi="宋体"/>
        <w:noProof/>
        <w:sz w:val="28"/>
        <w:szCs w:val="28"/>
      </w:rPr>
      <w:t>- 1 -</w:t>
    </w:r>
    <w:r>
      <w:rPr>
        <w:rStyle w:val="af"/>
        <w:rFonts w:ascii="宋体" w:eastAsia="宋体" w:hAnsi="宋体"/>
        <w:sz w:val="28"/>
        <w:szCs w:val="28"/>
      </w:rPr>
      <w:fldChar w:fldCharType="end"/>
    </w:r>
  </w:p>
  <w:p w:rsidR="005044EE" w:rsidRDefault="005044EE">
    <w:pPr>
      <w:pStyle w:val="a9"/>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F2C" w:rsidRDefault="00650F2C">
      <w:r>
        <w:separator/>
      </w:r>
    </w:p>
  </w:footnote>
  <w:footnote w:type="continuationSeparator" w:id="0">
    <w:p w:rsidR="00650F2C" w:rsidRDefault="00650F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4EE" w:rsidRDefault="005044EE">
    <w:pPr>
      <w:pStyle w:val="aa"/>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B8B05"/>
    <w:multiLevelType w:val="singleLevel"/>
    <w:tmpl w:val="585B8B05"/>
    <w:lvl w:ilvl="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bordersDoNotSurroundFooter/>
  <w:proofState w:spelling="clean" w:grammar="clean"/>
  <w:defaultTabStop w:val="420"/>
  <w:drawingGridVerticalSpacing w:val="291"/>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6AF8"/>
    <w:rsid w:val="00004710"/>
    <w:rsid w:val="00015E01"/>
    <w:rsid w:val="0001687D"/>
    <w:rsid w:val="000239EA"/>
    <w:rsid w:val="000406A2"/>
    <w:rsid w:val="00040E24"/>
    <w:rsid w:val="00041FF4"/>
    <w:rsid w:val="000434A4"/>
    <w:rsid w:val="00044018"/>
    <w:rsid w:val="00044F8C"/>
    <w:rsid w:val="00051125"/>
    <w:rsid w:val="000523DC"/>
    <w:rsid w:val="00054D88"/>
    <w:rsid w:val="0005587E"/>
    <w:rsid w:val="00056D5D"/>
    <w:rsid w:val="00057A25"/>
    <w:rsid w:val="00060BA8"/>
    <w:rsid w:val="00061B36"/>
    <w:rsid w:val="00063F19"/>
    <w:rsid w:val="00065C72"/>
    <w:rsid w:val="00066CEE"/>
    <w:rsid w:val="00071E16"/>
    <w:rsid w:val="00072CFD"/>
    <w:rsid w:val="000808D1"/>
    <w:rsid w:val="00084D06"/>
    <w:rsid w:val="0008732F"/>
    <w:rsid w:val="0009273F"/>
    <w:rsid w:val="00092855"/>
    <w:rsid w:val="0009327B"/>
    <w:rsid w:val="00097906"/>
    <w:rsid w:val="000A02B2"/>
    <w:rsid w:val="000A3AEF"/>
    <w:rsid w:val="000A4F40"/>
    <w:rsid w:val="000A52AA"/>
    <w:rsid w:val="000A7AFE"/>
    <w:rsid w:val="000B133D"/>
    <w:rsid w:val="000C08BD"/>
    <w:rsid w:val="000C3791"/>
    <w:rsid w:val="000E054A"/>
    <w:rsid w:val="000E20A6"/>
    <w:rsid w:val="000F5CE8"/>
    <w:rsid w:val="001006E6"/>
    <w:rsid w:val="001038CD"/>
    <w:rsid w:val="001044B5"/>
    <w:rsid w:val="00107C49"/>
    <w:rsid w:val="001103BC"/>
    <w:rsid w:val="001226AB"/>
    <w:rsid w:val="00123422"/>
    <w:rsid w:val="00130C42"/>
    <w:rsid w:val="00133353"/>
    <w:rsid w:val="00133370"/>
    <w:rsid w:val="00133916"/>
    <w:rsid w:val="00142CA3"/>
    <w:rsid w:val="0015174D"/>
    <w:rsid w:val="00157E51"/>
    <w:rsid w:val="00162AA1"/>
    <w:rsid w:val="00165F75"/>
    <w:rsid w:val="00170331"/>
    <w:rsid w:val="00176E54"/>
    <w:rsid w:val="00181130"/>
    <w:rsid w:val="00182579"/>
    <w:rsid w:val="00182E84"/>
    <w:rsid w:val="00193220"/>
    <w:rsid w:val="0019515E"/>
    <w:rsid w:val="00195B2D"/>
    <w:rsid w:val="001A399B"/>
    <w:rsid w:val="001A43A3"/>
    <w:rsid w:val="001A5998"/>
    <w:rsid w:val="001A65A7"/>
    <w:rsid w:val="001B6E95"/>
    <w:rsid w:val="001C041A"/>
    <w:rsid w:val="001D08CE"/>
    <w:rsid w:val="001D3640"/>
    <w:rsid w:val="001D4EEC"/>
    <w:rsid w:val="001D553D"/>
    <w:rsid w:val="001D557C"/>
    <w:rsid w:val="001D605D"/>
    <w:rsid w:val="001D6B31"/>
    <w:rsid w:val="001E47C8"/>
    <w:rsid w:val="001E5828"/>
    <w:rsid w:val="001E715A"/>
    <w:rsid w:val="001E7D9D"/>
    <w:rsid w:val="001F21C6"/>
    <w:rsid w:val="001F520D"/>
    <w:rsid w:val="0020129C"/>
    <w:rsid w:val="002014BD"/>
    <w:rsid w:val="002067EB"/>
    <w:rsid w:val="0021022C"/>
    <w:rsid w:val="00222618"/>
    <w:rsid w:val="0023428F"/>
    <w:rsid w:val="002420A9"/>
    <w:rsid w:val="00245572"/>
    <w:rsid w:val="00246F63"/>
    <w:rsid w:val="0024797B"/>
    <w:rsid w:val="00261AB1"/>
    <w:rsid w:val="00264AD0"/>
    <w:rsid w:val="00274020"/>
    <w:rsid w:val="00276C44"/>
    <w:rsid w:val="00276FE4"/>
    <w:rsid w:val="00291823"/>
    <w:rsid w:val="002A6B1C"/>
    <w:rsid w:val="002C027C"/>
    <w:rsid w:val="002C48A1"/>
    <w:rsid w:val="002D06A0"/>
    <w:rsid w:val="002D7650"/>
    <w:rsid w:val="002D7C24"/>
    <w:rsid w:val="002F0F73"/>
    <w:rsid w:val="002F7960"/>
    <w:rsid w:val="0030153C"/>
    <w:rsid w:val="0030494B"/>
    <w:rsid w:val="00306265"/>
    <w:rsid w:val="00307FC7"/>
    <w:rsid w:val="00312DB5"/>
    <w:rsid w:val="0031645C"/>
    <w:rsid w:val="003175AA"/>
    <w:rsid w:val="0032090F"/>
    <w:rsid w:val="003218BD"/>
    <w:rsid w:val="00324D06"/>
    <w:rsid w:val="0032655D"/>
    <w:rsid w:val="003273FE"/>
    <w:rsid w:val="00343972"/>
    <w:rsid w:val="00345742"/>
    <w:rsid w:val="003462FC"/>
    <w:rsid w:val="003575A3"/>
    <w:rsid w:val="00365E16"/>
    <w:rsid w:val="00366ADF"/>
    <w:rsid w:val="00372F72"/>
    <w:rsid w:val="00375417"/>
    <w:rsid w:val="003758E4"/>
    <w:rsid w:val="00381BE4"/>
    <w:rsid w:val="00385A42"/>
    <w:rsid w:val="00396E94"/>
    <w:rsid w:val="003A4FBE"/>
    <w:rsid w:val="003A569C"/>
    <w:rsid w:val="003B2D0F"/>
    <w:rsid w:val="003C43B2"/>
    <w:rsid w:val="003D541F"/>
    <w:rsid w:val="003E2FE5"/>
    <w:rsid w:val="003E4BF8"/>
    <w:rsid w:val="003F0068"/>
    <w:rsid w:val="003F0609"/>
    <w:rsid w:val="003F1BFE"/>
    <w:rsid w:val="003F4BE0"/>
    <w:rsid w:val="003F6AAD"/>
    <w:rsid w:val="003F7554"/>
    <w:rsid w:val="003F7EC8"/>
    <w:rsid w:val="004041BA"/>
    <w:rsid w:val="00404AA4"/>
    <w:rsid w:val="00406FFE"/>
    <w:rsid w:val="004071FB"/>
    <w:rsid w:val="004120D1"/>
    <w:rsid w:val="00416082"/>
    <w:rsid w:val="004174DF"/>
    <w:rsid w:val="004201CF"/>
    <w:rsid w:val="00430457"/>
    <w:rsid w:val="0044258C"/>
    <w:rsid w:val="00442EA0"/>
    <w:rsid w:val="00466282"/>
    <w:rsid w:val="0046687A"/>
    <w:rsid w:val="004713AC"/>
    <w:rsid w:val="00481449"/>
    <w:rsid w:val="00483559"/>
    <w:rsid w:val="00485254"/>
    <w:rsid w:val="004921FF"/>
    <w:rsid w:val="004934A1"/>
    <w:rsid w:val="00497446"/>
    <w:rsid w:val="004A1946"/>
    <w:rsid w:val="004A41B1"/>
    <w:rsid w:val="004A7F47"/>
    <w:rsid w:val="004B0620"/>
    <w:rsid w:val="004B693A"/>
    <w:rsid w:val="004B6ED2"/>
    <w:rsid w:val="004B7052"/>
    <w:rsid w:val="004C0763"/>
    <w:rsid w:val="004C090F"/>
    <w:rsid w:val="004C1AEC"/>
    <w:rsid w:val="004D1944"/>
    <w:rsid w:val="004D2C41"/>
    <w:rsid w:val="004D6F32"/>
    <w:rsid w:val="004E06F4"/>
    <w:rsid w:val="004E1A33"/>
    <w:rsid w:val="004E2DE9"/>
    <w:rsid w:val="004E7700"/>
    <w:rsid w:val="004F16BB"/>
    <w:rsid w:val="004F5453"/>
    <w:rsid w:val="004F6BB3"/>
    <w:rsid w:val="004F6CBF"/>
    <w:rsid w:val="005044EE"/>
    <w:rsid w:val="005063A0"/>
    <w:rsid w:val="00507DF2"/>
    <w:rsid w:val="00510300"/>
    <w:rsid w:val="00516C02"/>
    <w:rsid w:val="0052256C"/>
    <w:rsid w:val="0052315C"/>
    <w:rsid w:val="00524A7D"/>
    <w:rsid w:val="00525838"/>
    <w:rsid w:val="00530B65"/>
    <w:rsid w:val="005324D4"/>
    <w:rsid w:val="0053436A"/>
    <w:rsid w:val="005362C1"/>
    <w:rsid w:val="0053735B"/>
    <w:rsid w:val="00554CB1"/>
    <w:rsid w:val="005552DC"/>
    <w:rsid w:val="005561EC"/>
    <w:rsid w:val="00557CCB"/>
    <w:rsid w:val="00561B4C"/>
    <w:rsid w:val="00563D56"/>
    <w:rsid w:val="005673FD"/>
    <w:rsid w:val="00572D10"/>
    <w:rsid w:val="0057426A"/>
    <w:rsid w:val="00575A7E"/>
    <w:rsid w:val="005805ED"/>
    <w:rsid w:val="00581843"/>
    <w:rsid w:val="0058203A"/>
    <w:rsid w:val="00583BF8"/>
    <w:rsid w:val="00583FA0"/>
    <w:rsid w:val="005869AA"/>
    <w:rsid w:val="005875D6"/>
    <w:rsid w:val="00587E3F"/>
    <w:rsid w:val="0059132F"/>
    <w:rsid w:val="00594AB0"/>
    <w:rsid w:val="00595751"/>
    <w:rsid w:val="005A3E80"/>
    <w:rsid w:val="005B2713"/>
    <w:rsid w:val="005B5B8F"/>
    <w:rsid w:val="005B61DC"/>
    <w:rsid w:val="005C53EE"/>
    <w:rsid w:val="005C7E8B"/>
    <w:rsid w:val="005D6C6F"/>
    <w:rsid w:val="005D6F15"/>
    <w:rsid w:val="005D72D2"/>
    <w:rsid w:val="005F2051"/>
    <w:rsid w:val="005F222A"/>
    <w:rsid w:val="005F2D2B"/>
    <w:rsid w:val="005F6814"/>
    <w:rsid w:val="005F6AF8"/>
    <w:rsid w:val="00601038"/>
    <w:rsid w:val="00605CCC"/>
    <w:rsid w:val="00607904"/>
    <w:rsid w:val="00610C3A"/>
    <w:rsid w:val="00611E64"/>
    <w:rsid w:val="00613BEE"/>
    <w:rsid w:val="00617AE1"/>
    <w:rsid w:val="00624225"/>
    <w:rsid w:val="00626CE0"/>
    <w:rsid w:val="00650F2C"/>
    <w:rsid w:val="00654866"/>
    <w:rsid w:val="00661797"/>
    <w:rsid w:val="006623EA"/>
    <w:rsid w:val="006626CC"/>
    <w:rsid w:val="00663FB2"/>
    <w:rsid w:val="00664A9F"/>
    <w:rsid w:val="00665B9E"/>
    <w:rsid w:val="00672DAB"/>
    <w:rsid w:val="00680E88"/>
    <w:rsid w:val="00683DA9"/>
    <w:rsid w:val="00683F90"/>
    <w:rsid w:val="00690156"/>
    <w:rsid w:val="00691D0B"/>
    <w:rsid w:val="006A0E5A"/>
    <w:rsid w:val="006A3531"/>
    <w:rsid w:val="006A4ECE"/>
    <w:rsid w:val="006A66A3"/>
    <w:rsid w:val="006A72AD"/>
    <w:rsid w:val="006C387E"/>
    <w:rsid w:val="006C3E3F"/>
    <w:rsid w:val="006C49B1"/>
    <w:rsid w:val="006D6F7F"/>
    <w:rsid w:val="006E45DB"/>
    <w:rsid w:val="006F4A13"/>
    <w:rsid w:val="007013D6"/>
    <w:rsid w:val="00704E12"/>
    <w:rsid w:val="00706936"/>
    <w:rsid w:val="007124E1"/>
    <w:rsid w:val="0071554D"/>
    <w:rsid w:val="00715BF7"/>
    <w:rsid w:val="007172BC"/>
    <w:rsid w:val="00720881"/>
    <w:rsid w:val="00720F12"/>
    <w:rsid w:val="007263BE"/>
    <w:rsid w:val="0073579B"/>
    <w:rsid w:val="00742494"/>
    <w:rsid w:val="00742535"/>
    <w:rsid w:val="007568C4"/>
    <w:rsid w:val="007703BA"/>
    <w:rsid w:val="00774EF7"/>
    <w:rsid w:val="0077780F"/>
    <w:rsid w:val="007816AA"/>
    <w:rsid w:val="0078326D"/>
    <w:rsid w:val="00784C06"/>
    <w:rsid w:val="00785BF3"/>
    <w:rsid w:val="00787A23"/>
    <w:rsid w:val="00793C68"/>
    <w:rsid w:val="00795DEB"/>
    <w:rsid w:val="00796173"/>
    <w:rsid w:val="00796C93"/>
    <w:rsid w:val="007B672C"/>
    <w:rsid w:val="007C67FD"/>
    <w:rsid w:val="007D6521"/>
    <w:rsid w:val="007D7C5F"/>
    <w:rsid w:val="007E6690"/>
    <w:rsid w:val="007E7B32"/>
    <w:rsid w:val="007F1479"/>
    <w:rsid w:val="007F4B9F"/>
    <w:rsid w:val="007F6E83"/>
    <w:rsid w:val="00803349"/>
    <w:rsid w:val="00804B8E"/>
    <w:rsid w:val="008078CE"/>
    <w:rsid w:val="008118E0"/>
    <w:rsid w:val="008147DA"/>
    <w:rsid w:val="00814A2D"/>
    <w:rsid w:val="00815CC0"/>
    <w:rsid w:val="0082500C"/>
    <w:rsid w:val="00826972"/>
    <w:rsid w:val="00826C60"/>
    <w:rsid w:val="00830FCA"/>
    <w:rsid w:val="00831016"/>
    <w:rsid w:val="008331D3"/>
    <w:rsid w:val="00833A96"/>
    <w:rsid w:val="00834549"/>
    <w:rsid w:val="008374A7"/>
    <w:rsid w:val="00840249"/>
    <w:rsid w:val="0084054B"/>
    <w:rsid w:val="00840CDF"/>
    <w:rsid w:val="00842C97"/>
    <w:rsid w:val="008436FE"/>
    <w:rsid w:val="00844C8D"/>
    <w:rsid w:val="008454D3"/>
    <w:rsid w:val="00846BE0"/>
    <w:rsid w:val="008470A4"/>
    <w:rsid w:val="00866995"/>
    <w:rsid w:val="008734BD"/>
    <w:rsid w:val="008745FC"/>
    <w:rsid w:val="008839B8"/>
    <w:rsid w:val="00885502"/>
    <w:rsid w:val="0089318E"/>
    <w:rsid w:val="00894436"/>
    <w:rsid w:val="008A1038"/>
    <w:rsid w:val="008A3DFC"/>
    <w:rsid w:val="008A6E9B"/>
    <w:rsid w:val="008B14E5"/>
    <w:rsid w:val="008B3375"/>
    <w:rsid w:val="008C1D3B"/>
    <w:rsid w:val="008C35C2"/>
    <w:rsid w:val="008C6BE5"/>
    <w:rsid w:val="008C6C30"/>
    <w:rsid w:val="008D6ADC"/>
    <w:rsid w:val="008D712D"/>
    <w:rsid w:val="008E5552"/>
    <w:rsid w:val="009002C7"/>
    <w:rsid w:val="00904386"/>
    <w:rsid w:val="00905686"/>
    <w:rsid w:val="0091162E"/>
    <w:rsid w:val="0091399F"/>
    <w:rsid w:val="00915066"/>
    <w:rsid w:val="00921A33"/>
    <w:rsid w:val="00922D02"/>
    <w:rsid w:val="00926140"/>
    <w:rsid w:val="00930A2D"/>
    <w:rsid w:val="009325B4"/>
    <w:rsid w:val="00933357"/>
    <w:rsid w:val="00934294"/>
    <w:rsid w:val="0093571D"/>
    <w:rsid w:val="009359E2"/>
    <w:rsid w:val="00942A63"/>
    <w:rsid w:val="0094747D"/>
    <w:rsid w:val="00951C29"/>
    <w:rsid w:val="00953C81"/>
    <w:rsid w:val="00967F28"/>
    <w:rsid w:val="00971BE8"/>
    <w:rsid w:val="0097620A"/>
    <w:rsid w:val="00981324"/>
    <w:rsid w:val="00984C52"/>
    <w:rsid w:val="009850F1"/>
    <w:rsid w:val="009947C7"/>
    <w:rsid w:val="009A1307"/>
    <w:rsid w:val="009A175C"/>
    <w:rsid w:val="009A414A"/>
    <w:rsid w:val="009A688D"/>
    <w:rsid w:val="009B13AE"/>
    <w:rsid w:val="009B763C"/>
    <w:rsid w:val="009C0112"/>
    <w:rsid w:val="009C0E41"/>
    <w:rsid w:val="009C4462"/>
    <w:rsid w:val="009C51A9"/>
    <w:rsid w:val="009C56A8"/>
    <w:rsid w:val="009E2249"/>
    <w:rsid w:val="009E720C"/>
    <w:rsid w:val="009F0086"/>
    <w:rsid w:val="009F3FA9"/>
    <w:rsid w:val="009F5B01"/>
    <w:rsid w:val="00A01413"/>
    <w:rsid w:val="00A0481A"/>
    <w:rsid w:val="00A11A31"/>
    <w:rsid w:val="00A206A6"/>
    <w:rsid w:val="00A2073E"/>
    <w:rsid w:val="00A20D55"/>
    <w:rsid w:val="00A214FD"/>
    <w:rsid w:val="00A2182A"/>
    <w:rsid w:val="00A33E68"/>
    <w:rsid w:val="00A37172"/>
    <w:rsid w:val="00A379E6"/>
    <w:rsid w:val="00A4331B"/>
    <w:rsid w:val="00A4570E"/>
    <w:rsid w:val="00A506CA"/>
    <w:rsid w:val="00A50DE2"/>
    <w:rsid w:val="00A5479B"/>
    <w:rsid w:val="00A5507A"/>
    <w:rsid w:val="00A55530"/>
    <w:rsid w:val="00A55FB8"/>
    <w:rsid w:val="00A619E9"/>
    <w:rsid w:val="00A7334F"/>
    <w:rsid w:val="00A742CA"/>
    <w:rsid w:val="00A754F3"/>
    <w:rsid w:val="00A77CD4"/>
    <w:rsid w:val="00A82050"/>
    <w:rsid w:val="00A82443"/>
    <w:rsid w:val="00A848FC"/>
    <w:rsid w:val="00A959CA"/>
    <w:rsid w:val="00A9600D"/>
    <w:rsid w:val="00AA0A9A"/>
    <w:rsid w:val="00AA2250"/>
    <w:rsid w:val="00AB0EE5"/>
    <w:rsid w:val="00AB63AB"/>
    <w:rsid w:val="00AC4FC8"/>
    <w:rsid w:val="00AD354B"/>
    <w:rsid w:val="00AE041E"/>
    <w:rsid w:val="00AE065A"/>
    <w:rsid w:val="00AE555B"/>
    <w:rsid w:val="00AE6552"/>
    <w:rsid w:val="00AE6658"/>
    <w:rsid w:val="00AF12D9"/>
    <w:rsid w:val="00AF14A5"/>
    <w:rsid w:val="00AF35E8"/>
    <w:rsid w:val="00AF5634"/>
    <w:rsid w:val="00AF686B"/>
    <w:rsid w:val="00AF78BC"/>
    <w:rsid w:val="00B00BEB"/>
    <w:rsid w:val="00B02DDC"/>
    <w:rsid w:val="00B03B44"/>
    <w:rsid w:val="00B11993"/>
    <w:rsid w:val="00B170EE"/>
    <w:rsid w:val="00B20503"/>
    <w:rsid w:val="00B21CB6"/>
    <w:rsid w:val="00B30A8E"/>
    <w:rsid w:val="00B3330D"/>
    <w:rsid w:val="00B33ACD"/>
    <w:rsid w:val="00B36910"/>
    <w:rsid w:val="00B36ADE"/>
    <w:rsid w:val="00B36E83"/>
    <w:rsid w:val="00B37C0E"/>
    <w:rsid w:val="00B4001F"/>
    <w:rsid w:val="00B4126D"/>
    <w:rsid w:val="00B42550"/>
    <w:rsid w:val="00B466C8"/>
    <w:rsid w:val="00B5442F"/>
    <w:rsid w:val="00B55B57"/>
    <w:rsid w:val="00B57A57"/>
    <w:rsid w:val="00B70001"/>
    <w:rsid w:val="00B739B3"/>
    <w:rsid w:val="00B75794"/>
    <w:rsid w:val="00B8090A"/>
    <w:rsid w:val="00B84704"/>
    <w:rsid w:val="00B85955"/>
    <w:rsid w:val="00B87B76"/>
    <w:rsid w:val="00B91FF9"/>
    <w:rsid w:val="00BA1854"/>
    <w:rsid w:val="00BA5A9F"/>
    <w:rsid w:val="00BA611C"/>
    <w:rsid w:val="00BA6264"/>
    <w:rsid w:val="00BA7ED9"/>
    <w:rsid w:val="00BB6CFA"/>
    <w:rsid w:val="00BC212A"/>
    <w:rsid w:val="00BC360E"/>
    <w:rsid w:val="00BC65D2"/>
    <w:rsid w:val="00BD1257"/>
    <w:rsid w:val="00BD4EBD"/>
    <w:rsid w:val="00BD62E1"/>
    <w:rsid w:val="00BD706F"/>
    <w:rsid w:val="00BE243A"/>
    <w:rsid w:val="00BE7A64"/>
    <w:rsid w:val="00BF183D"/>
    <w:rsid w:val="00BF249B"/>
    <w:rsid w:val="00BF5034"/>
    <w:rsid w:val="00BF5B45"/>
    <w:rsid w:val="00BF654A"/>
    <w:rsid w:val="00BF7065"/>
    <w:rsid w:val="00BF7B89"/>
    <w:rsid w:val="00C07A63"/>
    <w:rsid w:val="00C36DCF"/>
    <w:rsid w:val="00C40F98"/>
    <w:rsid w:val="00C41328"/>
    <w:rsid w:val="00C414A7"/>
    <w:rsid w:val="00C424F4"/>
    <w:rsid w:val="00C47750"/>
    <w:rsid w:val="00C563E5"/>
    <w:rsid w:val="00C572F0"/>
    <w:rsid w:val="00C627D0"/>
    <w:rsid w:val="00C655F3"/>
    <w:rsid w:val="00C660EE"/>
    <w:rsid w:val="00C83858"/>
    <w:rsid w:val="00C87522"/>
    <w:rsid w:val="00C9225E"/>
    <w:rsid w:val="00C952C3"/>
    <w:rsid w:val="00C961D3"/>
    <w:rsid w:val="00C9645E"/>
    <w:rsid w:val="00CB0D63"/>
    <w:rsid w:val="00CB5BA6"/>
    <w:rsid w:val="00CB7A05"/>
    <w:rsid w:val="00CC2325"/>
    <w:rsid w:val="00CC2338"/>
    <w:rsid w:val="00CC3237"/>
    <w:rsid w:val="00CC4E3A"/>
    <w:rsid w:val="00CC66D5"/>
    <w:rsid w:val="00CC7F70"/>
    <w:rsid w:val="00CC7FB8"/>
    <w:rsid w:val="00CD0323"/>
    <w:rsid w:val="00CD2A1E"/>
    <w:rsid w:val="00CD72AE"/>
    <w:rsid w:val="00CE160B"/>
    <w:rsid w:val="00CE44CF"/>
    <w:rsid w:val="00CF07AD"/>
    <w:rsid w:val="00CF372C"/>
    <w:rsid w:val="00CF3A8C"/>
    <w:rsid w:val="00CF5473"/>
    <w:rsid w:val="00D00D44"/>
    <w:rsid w:val="00D02E65"/>
    <w:rsid w:val="00D06B77"/>
    <w:rsid w:val="00D07CAF"/>
    <w:rsid w:val="00D13FF2"/>
    <w:rsid w:val="00D14240"/>
    <w:rsid w:val="00D14505"/>
    <w:rsid w:val="00D16CE5"/>
    <w:rsid w:val="00D17E12"/>
    <w:rsid w:val="00D20511"/>
    <w:rsid w:val="00D20682"/>
    <w:rsid w:val="00D21D6E"/>
    <w:rsid w:val="00D224CA"/>
    <w:rsid w:val="00D2406E"/>
    <w:rsid w:val="00D277AB"/>
    <w:rsid w:val="00D33F6E"/>
    <w:rsid w:val="00D362B6"/>
    <w:rsid w:val="00D36FBB"/>
    <w:rsid w:val="00D415CF"/>
    <w:rsid w:val="00D42C4C"/>
    <w:rsid w:val="00D46603"/>
    <w:rsid w:val="00D50A34"/>
    <w:rsid w:val="00D600D2"/>
    <w:rsid w:val="00D60C50"/>
    <w:rsid w:val="00D6181C"/>
    <w:rsid w:val="00D64D59"/>
    <w:rsid w:val="00D6544F"/>
    <w:rsid w:val="00D763C7"/>
    <w:rsid w:val="00D81951"/>
    <w:rsid w:val="00D85DFA"/>
    <w:rsid w:val="00D916F7"/>
    <w:rsid w:val="00D9715D"/>
    <w:rsid w:val="00DA257B"/>
    <w:rsid w:val="00DA2F4C"/>
    <w:rsid w:val="00DB00FB"/>
    <w:rsid w:val="00DB478C"/>
    <w:rsid w:val="00DC2CBE"/>
    <w:rsid w:val="00DC491E"/>
    <w:rsid w:val="00DD44EC"/>
    <w:rsid w:val="00DD4B07"/>
    <w:rsid w:val="00DD5EE6"/>
    <w:rsid w:val="00DD712A"/>
    <w:rsid w:val="00DE452E"/>
    <w:rsid w:val="00DE4CA2"/>
    <w:rsid w:val="00DF3B53"/>
    <w:rsid w:val="00E01F13"/>
    <w:rsid w:val="00E03378"/>
    <w:rsid w:val="00E03520"/>
    <w:rsid w:val="00E07B4D"/>
    <w:rsid w:val="00E07EA5"/>
    <w:rsid w:val="00E1263C"/>
    <w:rsid w:val="00E1511F"/>
    <w:rsid w:val="00E15F43"/>
    <w:rsid w:val="00E20740"/>
    <w:rsid w:val="00E20FAC"/>
    <w:rsid w:val="00E23490"/>
    <w:rsid w:val="00E23935"/>
    <w:rsid w:val="00E271DA"/>
    <w:rsid w:val="00E31198"/>
    <w:rsid w:val="00E45B52"/>
    <w:rsid w:val="00E70C65"/>
    <w:rsid w:val="00E71C31"/>
    <w:rsid w:val="00E80A81"/>
    <w:rsid w:val="00E815A8"/>
    <w:rsid w:val="00E83321"/>
    <w:rsid w:val="00E8422C"/>
    <w:rsid w:val="00E84D0B"/>
    <w:rsid w:val="00E866A1"/>
    <w:rsid w:val="00E9443C"/>
    <w:rsid w:val="00EA339A"/>
    <w:rsid w:val="00EB0633"/>
    <w:rsid w:val="00EB54CB"/>
    <w:rsid w:val="00EB5D4A"/>
    <w:rsid w:val="00EC1913"/>
    <w:rsid w:val="00EC2747"/>
    <w:rsid w:val="00EC3F93"/>
    <w:rsid w:val="00EC52DB"/>
    <w:rsid w:val="00EC7791"/>
    <w:rsid w:val="00EC7FDF"/>
    <w:rsid w:val="00ED0070"/>
    <w:rsid w:val="00ED0B4D"/>
    <w:rsid w:val="00ED224C"/>
    <w:rsid w:val="00EE1938"/>
    <w:rsid w:val="00EE3183"/>
    <w:rsid w:val="00EE561C"/>
    <w:rsid w:val="00EE63C2"/>
    <w:rsid w:val="00EE717E"/>
    <w:rsid w:val="00F00072"/>
    <w:rsid w:val="00F05ACC"/>
    <w:rsid w:val="00F05E24"/>
    <w:rsid w:val="00F05E3C"/>
    <w:rsid w:val="00F13F28"/>
    <w:rsid w:val="00F14550"/>
    <w:rsid w:val="00F16846"/>
    <w:rsid w:val="00F22B81"/>
    <w:rsid w:val="00F25AD0"/>
    <w:rsid w:val="00F26CF1"/>
    <w:rsid w:val="00F3028A"/>
    <w:rsid w:val="00F30790"/>
    <w:rsid w:val="00F35FD3"/>
    <w:rsid w:val="00F46DD5"/>
    <w:rsid w:val="00F47EDA"/>
    <w:rsid w:val="00F5370C"/>
    <w:rsid w:val="00F60DC5"/>
    <w:rsid w:val="00F61D0D"/>
    <w:rsid w:val="00F67795"/>
    <w:rsid w:val="00F72C42"/>
    <w:rsid w:val="00F80A42"/>
    <w:rsid w:val="00F843DD"/>
    <w:rsid w:val="00F96410"/>
    <w:rsid w:val="00FA15C3"/>
    <w:rsid w:val="00FA3603"/>
    <w:rsid w:val="00FA4665"/>
    <w:rsid w:val="00FA4E3C"/>
    <w:rsid w:val="00FB0476"/>
    <w:rsid w:val="00FB4336"/>
    <w:rsid w:val="00FB69F2"/>
    <w:rsid w:val="00FC3E6C"/>
    <w:rsid w:val="00FC478E"/>
    <w:rsid w:val="00FC49AC"/>
    <w:rsid w:val="00FC7172"/>
    <w:rsid w:val="00FD3E74"/>
    <w:rsid w:val="00FD5B1E"/>
    <w:rsid w:val="00FE34EA"/>
    <w:rsid w:val="00FE545D"/>
    <w:rsid w:val="00FE6CB0"/>
    <w:rsid w:val="00FE6D81"/>
    <w:rsid w:val="00FF27EC"/>
    <w:rsid w:val="00FF4A1D"/>
    <w:rsid w:val="03CE78F7"/>
    <w:rsid w:val="14AE7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1"/>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pPr>
      <w:adjustRightInd w:val="0"/>
      <w:snapToGrid w:val="0"/>
      <w:spacing w:line="640" w:lineRule="atLeast"/>
      <w:jc w:val="center"/>
    </w:pPr>
    <w:rPr>
      <w:rFonts w:ascii="黑体" w:eastAsia="黑体" w:hint="eastAsia"/>
      <w:sz w:val="40"/>
    </w:rPr>
  </w:style>
  <w:style w:type="paragraph" w:styleId="a5">
    <w:name w:val="Document Map"/>
    <w:basedOn w:val="a"/>
    <w:semiHidden/>
    <w:pPr>
      <w:shd w:val="clear" w:color="auto" w:fill="000080"/>
    </w:pPr>
  </w:style>
  <w:style w:type="paragraph" w:styleId="a6">
    <w:name w:val="Body Text Indent"/>
    <w:basedOn w:val="a"/>
    <w:pPr>
      <w:tabs>
        <w:tab w:val="left" w:pos="320"/>
      </w:tabs>
      <w:spacing w:line="600" w:lineRule="exact"/>
      <w:ind w:firstLineChars="200" w:firstLine="640"/>
    </w:pPr>
    <w:rPr>
      <w:rFonts w:ascii="仿宋_GB2312"/>
    </w:rPr>
  </w:style>
  <w:style w:type="paragraph" w:styleId="a7">
    <w:name w:val="Plain Text"/>
    <w:basedOn w:val="a"/>
    <w:link w:val="Char1"/>
    <w:rPr>
      <w:rFonts w:ascii="宋体" w:eastAsia="宋体" w:hAnsi="Courier New" w:cs="Courier New"/>
      <w:sz w:val="21"/>
      <w:szCs w:val="21"/>
    </w:rPr>
  </w:style>
  <w:style w:type="paragraph" w:styleId="a8">
    <w:name w:val="Date"/>
    <w:basedOn w:val="a"/>
    <w:next w:val="a"/>
    <w:pPr>
      <w:ind w:leftChars="2500" w:left="100"/>
    </w:pPr>
  </w:style>
  <w:style w:type="paragraph" w:styleId="20">
    <w:name w:val="Body Text Indent 2"/>
    <w:basedOn w:val="a"/>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pPr>
      <w:spacing w:after="120"/>
      <w:ind w:leftChars="200" w:left="420"/>
    </w:pPr>
    <w:rPr>
      <w:sz w:val="16"/>
      <w:szCs w:val="16"/>
    </w:rPr>
  </w:style>
  <w:style w:type="paragraph" w:styleId="21">
    <w:name w:val="Body Text 2"/>
    <w:basedOn w:val="a"/>
    <w:link w:val="2Char0"/>
    <w:pPr>
      <w:spacing w:after="120" w:line="480" w:lineRule="auto"/>
    </w:pPr>
    <w:rPr>
      <w:rFonts w:eastAsia="宋体"/>
      <w:sz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style>
  <w:style w:type="character" w:styleId="af0">
    <w:name w:val="Hyperlink"/>
    <w:rPr>
      <w:rFonts w:ascii="ˎ̥" w:hAnsi="ˎ̥" w:hint="default"/>
      <w:color w:val="0000FF"/>
      <w:sz w:val="21"/>
      <w:szCs w:val="21"/>
      <w:u w:val="single"/>
    </w:r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pPr>
      <w:adjustRightInd w:val="0"/>
      <w:spacing w:line="436" w:lineRule="exact"/>
      <w:ind w:left="357"/>
      <w:jc w:val="left"/>
      <w:outlineLvl w:val="3"/>
    </w:pPr>
    <w:rPr>
      <w:rFonts w:ascii="Tahoma" w:eastAsia="宋体" w:hAnsi="Tahoma"/>
      <w:b/>
      <w:sz w:val="24"/>
    </w:rPr>
  </w:style>
  <w:style w:type="paragraph" w:customStyle="1" w:styleId="10">
    <w:name w:val="无间隔1"/>
    <w:qFormat/>
    <w:pPr>
      <w:widowControl w:val="0"/>
      <w:jc w:val="both"/>
    </w:pPr>
    <w:rPr>
      <w:kern w:val="2"/>
      <w:sz w:val="21"/>
      <w:szCs w:val="24"/>
    </w:rPr>
  </w:style>
  <w:style w:type="paragraph" w:customStyle="1" w:styleId="New">
    <w:name w:val="正文 New"/>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1">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rPr>
      <w:rFonts w:ascii="仿宋_GB2312" w:eastAsia="宋体"/>
      <w:sz w:val="21"/>
    </w:rPr>
  </w:style>
  <w:style w:type="paragraph" w:customStyle="1" w:styleId="p0">
    <w:name w:val="p0"/>
    <w:basedOn w:val="a"/>
    <w:pPr>
      <w:widowControl/>
    </w:pPr>
    <w:rPr>
      <w:rFonts w:eastAsia="宋体"/>
      <w:kern w:val="0"/>
      <w:sz w:val="21"/>
      <w:szCs w:val="21"/>
    </w:rPr>
  </w:style>
  <w:style w:type="paragraph" w:customStyle="1" w:styleId="12">
    <w:name w:val="列出段落1"/>
    <w:basedOn w:val="a"/>
    <w:pPr>
      <w:ind w:firstLineChars="200" w:firstLine="420"/>
    </w:pPr>
    <w:rPr>
      <w:rFonts w:ascii="Calibri" w:eastAsia="仿宋" w:hAnsi="Calibri"/>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1">
    <w:name w:val="标题 1 Char1"/>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 w:type="character" w:customStyle="1" w:styleId="1Char">
    <w:name w:val="标题 1 Char"/>
    <w:locked/>
    <w:rPr>
      <w:rFonts w:ascii="宋体" w:eastAsia="宋体" w:hAnsi="宋体"/>
      <w:b/>
      <w:color w:val="333333"/>
      <w:kern w:val="44"/>
      <w:sz w:val="42"/>
      <w:szCs w:val="42"/>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Char1"/>
    <w:qFormat/>
    <w:pPr>
      <w:keepNext/>
      <w:keepLines/>
      <w:spacing w:before="340" w:after="330" w:line="578" w:lineRule="auto"/>
      <w:outlineLvl w:val="0"/>
    </w:pPr>
    <w:rPr>
      <w:rFonts w:eastAsia="宋体"/>
      <w:b/>
      <w:bCs/>
      <w:kern w:val="44"/>
      <w:sz w:val="44"/>
      <w:szCs w:val="44"/>
    </w:rPr>
  </w:style>
  <w:style w:type="paragraph" w:styleId="2">
    <w:name w:val="heading 2"/>
    <w:basedOn w:val="a"/>
    <w:next w:val="a"/>
    <w:link w:val="2Char"/>
    <w:qFormat/>
    <w:pPr>
      <w:keepNext/>
      <w:keepLines/>
      <w:spacing w:before="260" w:after="260" w:line="416" w:lineRule="auto"/>
      <w:outlineLvl w:val="1"/>
    </w:pPr>
    <w:rPr>
      <w:rFonts w:ascii="Arial" w:eastAsia="黑体" w:hAnsi="Arial"/>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pPr>
      <w:adjustRightInd/>
      <w:snapToGrid/>
      <w:spacing w:after="120" w:line="240" w:lineRule="auto"/>
      <w:ind w:firstLineChars="100" w:firstLine="420"/>
      <w:jc w:val="both"/>
    </w:pPr>
    <w:rPr>
      <w:rFonts w:ascii="Times New Roman" w:eastAsia="仿宋_GB2312" w:hint="default"/>
      <w:sz w:val="32"/>
    </w:rPr>
  </w:style>
  <w:style w:type="paragraph" w:styleId="a4">
    <w:name w:val="Body Text"/>
    <w:basedOn w:val="a"/>
    <w:link w:val="Char"/>
    <w:pPr>
      <w:adjustRightInd w:val="0"/>
      <w:snapToGrid w:val="0"/>
      <w:spacing w:line="640" w:lineRule="atLeast"/>
      <w:jc w:val="center"/>
    </w:pPr>
    <w:rPr>
      <w:rFonts w:ascii="黑体" w:eastAsia="黑体" w:hint="eastAsia"/>
      <w:sz w:val="40"/>
    </w:rPr>
  </w:style>
  <w:style w:type="paragraph" w:styleId="a5">
    <w:name w:val="Document Map"/>
    <w:basedOn w:val="a"/>
    <w:semiHidden/>
    <w:pPr>
      <w:shd w:val="clear" w:color="auto" w:fill="000080"/>
    </w:pPr>
  </w:style>
  <w:style w:type="paragraph" w:styleId="a6">
    <w:name w:val="Body Text Indent"/>
    <w:basedOn w:val="a"/>
    <w:pPr>
      <w:tabs>
        <w:tab w:val="left" w:pos="320"/>
      </w:tabs>
      <w:spacing w:line="600" w:lineRule="exact"/>
      <w:ind w:firstLineChars="200" w:firstLine="640"/>
    </w:pPr>
    <w:rPr>
      <w:rFonts w:ascii="仿宋_GB2312"/>
    </w:rPr>
  </w:style>
  <w:style w:type="paragraph" w:styleId="a7">
    <w:name w:val="Plain Text"/>
    <w:basedOn w:val="a"/>
    <w:link w:val="Char1"/>
    <w:rPr>
      <w:rFonts w:ascii="宋体" w:eastAsia="宋体" w:hAnsi="Courier New" w:cs="Courier New"/>
      <w:sz w:val="21"/>
      <w:szCs w:val="21"/>
    </w:rPr>
  </w:style>
  <w:style w:type="paragraph" w:styleId="a8">
    <w:name w:val="Date"/>
    <w:basedOn w:val="a"/>
    <w:next w:val="a"/>
    <w:pPr>
      <w:ind w:leftChars="2500" w:left="100"/>
    </w:pPr>
  </w:style>
  <w:style w:type="paragraph" w:styleId="20">
    <w:name w:val="Body Text Indent 2"/>
    <w:basedOn w:val="a"/>
    <w:pPr>
      <w:widowControl/>
      <w:tabs>
        <w:tab w:val="left" w:pos="6480"/>
      </w:tabs>
      <w:spacing w:line="460" w:lineRule="exact"/>
      <w:ind w:firstLineChars="200" w:firstLine="640"/>
      <w:jc w:val="left"/>
    </w:pPr>
    <w:rPr>
      <w:rFonts w:ascii="仿宋_GB2312" w:hAnsi="宋体"/>
      <w:szCs w:val="32"/>
    </w:rPr>
  </w:style>
  <w:style w:type="paragraph" w:styleId="a9">
    <w:name w:val="footer"/>
    <w:basedOn w:val="a"/>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ab">
    <w:name w:val="Subtitle"/>
    <w:basedOn w:val="a"/>
    <w:next w:val="a"/>
    <w:link w:val="Char0"/>
    <w:qFormat/>
    <w:pPr>
      <w:spacing w:before="240" w:after="60" w:line="312" w:lineRule="auto"/>
      <w:jc w:val="center"/>
      <w:outlineLvl w:val="1"/>
    </w:pPr>
    <w:rPr>
      <w:rFonts w:ascii="Cambria" w:eastAsia="宋体" w:hAnsi="Cambria"/>
      <w:b/>
      <w:bCs/>
      <w:kern w:val="28"/>
      <w:szCs w:val="32"/>
    </w:rPr>
  </w:style>
  <w:style w:type="paragraph" w:styleId="3">
    <w:name w:val="Body Text Indent 3"/>
    <w:basedOn w:val="a"/>
    <w:pPr>
      <w:spacing w:after="120"/>
      <w:ind w:leftChars="200" w:left="420"/>
    </w:pPr>
    <w:rPr>
      <w:sz w:val="16"/>
      <w:szCs w:val="16"/>
    </w:rPr>
  </w:style>
  <w:style w:type="paragraph" w:styleId="21">
    <w:name w:val="Body Text 2"/>
    <w:basedOn w:val="a"/>
    <w:link w:val="2Char0"/>
    <w:pPr>
      <w:spacing w:after="120" w:line="480" w:lineRule="auto"/>
    </w:pPr>
    <w:rPr>
      <w:rFonts w:eastAsia="宋体"/>
      <w:sz w:val="21"/>
    </w:rPr>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paragraph" w:styleId="ac">
    <w:name w:val="Normal (Web)"/>
    <w:basedOn w:val="a"/>
    <w:pPr>
      <w:widowControl/>
      <w:spacing w:before="100" w:beforeAutospacing="1" w:after="100" w:afterAutospacing="1"/>
      <w:jc w:val="left"/>
    </w:pPr>
    <w:rPr>
      <w:rFonts w:ascii="宋体" w:eastAsia="宋体" w:hAnsi="宋体"/>
      <w:kern w:val="0"/>
      <w:sz w:val="24"/>
    </w:rPr>
  </w:style>
  <w:style w:type="paragraph" w:styleId="ad">
    <w:name w:val="Title"/>
    <w:basedOn w:val="a"/>
    <w:qFormat/>
    <w:pPr>
      <w:autoSpaceDE w:val="0"/>
      <w:autoSpaceDN w:val="0"/>
      <w:adjustRightInd w:val="0"/>
      <w:snapToGrid w:val="0"/>
      <w:spacing w:before="240" w:after="60" w:line="500" w:lineRule="atLeast"/>
      <w:jc w:val="center"/>
      <w:outlineLvl w:val="0"/>
    </w:pPr>
    <w:rPr>
      <w:rFonts w:ascii="Arial" w:eastAsia="文星简小标宋" w:hAnsi="Arial"/>
      <w:b/>
      <w:color w:val="000000"/>
      <w:kern w:val="0"/>
      <w:sz w:val="44"/>
      <w:szCs w:val="20"/>
    </w:rPr>
  </w:style>
  <w:style w:type="character" w:styleId="ae">
    <w:name w:val="Strong"/>
    <w:qFormat/>
    <w:rPr>
      <w:b/>
      <w:bCs/>
    </w:rPr>
  </w:style>
  <w:style w:type="character" w:styleId="af">
    <w:name w:val="page number"/>
    <w:basedOn w:val="a0"/>
  </w:style>
  <w:style w:type="character" w:styleId="af0">
    <w:name w:val="Hyperlink"/>
    <w:rPr>
      <w:rFonts w:ascii="ˎ̥" w:hAnsi="ˎ̥" w:hint="default"/>
      <w:color w:val="0000FF"/>
      <w:sz w:val="21"/>
      <w:szCs w:val="21"/>
      <w:u w:val="single"/>
    </w:rPr>
  </w:style>
  <w:style w:type="table" w:styleId="af1">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2">
    <w:name w:val="Char"/>
    <w:basedOn w:val="a5"/>
    <w:pPr>
      <w:adjustRightInd w:val="0"/>
      <w:spacing w:line="436" w:lineRule="exact"/>
      <w:ind w:left="357"/>
      <w:jc w:val="left"/>
      <w:outlineLvl w:val="3"/>
    </w:pPr>
    <w:rPr>
      <w:rFonts w:ascii="Tahoma" w:eastAsia="宋体" w:hAnsi="Tahoma"/>
      <w:b/>
      <w:sz w:val="24"/>
    </w:rPr>
  </w:style>
  <w:style w:type="paragraph" w:customStyle="1" w:styleId="10">
    <w:name w:val="无间隔1"/>
    <w:qFormat/>
    <w:pPr>
      <w:widowControl w:val="0"/>
      <w:jc w:val="both"/>
    </w:pPr>
    <w:rPr>
      <w:kern w:val="2"/>
      <w:sz w:val="21"/>
      <w:szCs w:val="24"/>
    </w:rPr>
  </w:style>
  <w:style w:type="paragraph" w:customStyle="1" w:styleId="New">
    <w:name w:val="正文 New"/>
    <w:pPr>
      <w:widowControl w:val="0"/>
      <w:jc w:val="both"/>
    </w:pPr>
    <w:rPr>
      <w:kern w:val="2"/>
      <w:sz w:val="21"/>
      <w:szCs w:val="24"/>
    </w:rPr>
  </w:style>
  <w:style w:type="paragraph" w:customStyle="1" w:styleId="3New">
    <w:name w:val="正文文本缩进 3 New"/>
    <w:basedOn w:val="NewNew"/>
    <w:pPr>
      <w:ind w:firstLine="435"/>
    </w:pPr>
    <w:rPr>
      <w:rFonts w:ascii="楷体_GB2312" w:eastAsia="楷体_GB2312"/>
      <w:color w:val="FF0000"/>
      <w:sz w:val="22"/>
      <w:szCs w:val="22"/>
    </w:rPr>
  </w:style>
  <w:style w:type="paragraph" w:customStyle="1" w:styleId="NewNew">
    <w:name w:val="正文 New New"/>
    <w:pPr>
      <w:widowControl w:val="0"/>
      <w:jc w:val="both"/>
    </w:pPr>
    <w:rPr>
      <w:kern w:val="2"/>
      <w:sz w:val="21"/>
      <w:szCs w:val="24"/>
    </w:rPr>
  </w:style>
  <w:style w:type="paragraph" w:customStyle="1" w:styleId="content">
    <w:name w:val="content"/>
    <w:basedOn w:val="NewNew"/>
    <w:pPr>
      <w:widowControl/>
      <w:spacing w:line="300" w:lineRule="auto"/>
    </w:pPr>
    <w:rPr>
      <w:rFonts w:ascii="华文仿宋" w:eastAsia="华文仿宋" w:hAnsi="华文仿宋" w:cs="宋体"/>
      <w:kern w:val="0"/>
      <w:sz w:val="32"/>
      <w:szCs w:val="32"/>
    </w:rPr>
  </w:style>
  <w:style w:type="paragraph" w:customStyle="1" w:styleId="Style10">
    <w:name w:val="_Style 10"/>
    <w:basedOn w:val="a"/>
    <w:pPr>
      <w:widowControl/>
      <w:adjustRightInd w:val="0"/>
      <w:spacing w:after="160" w:line="240" w:lineRule="exact"/>
      <w:jc w:val="left"/>
      <w:textAlignment w:val="baseline"/>
    </w:pPr>
  </w:style>
  <w:style w:type="paragraph" w:customStyle="1" w:styleId="zw">
    <w:name w:val="zw"/>
    <w:basedOn w:val="a"/>
    <w:pPr>
      <w:widowControl/>
      <w:spacing w:before="30"/>
      <w:ind w:left="100" w:right="100"/>
    </w:pPr>
    <w:rPr>
      <w:rFonts w:ascii="方正书宋简体" w:eastAsia="方正书宋简体" w:hAnsi="宋体"/>
      <w:color w:val="000000"/>
      <w:kern w:val="0"/>
      <w:sz w:val="21"/>
      <w:szCs w:val="21"/>
    </w:rPr>
  </w:style>
  <w:style w:type="paragraph" w:customStyle="1" w:styleId="11">
    <w:name w:val="列出段落1"/>
    <w:basedOn w:val="a"/>
    <w:pPr>
      <w:widowControl/>
      <w:adjustRightInd w:val="0"/>
      <w:snapToGrid w:val="0"/>
      <w:ind w:firstLineChars="200" w:firstLine="420"/>
      <w:jc w:val="left"/>
    </w:pPr>
    <w:rPr>
      <w:rFonts w:ascii="Tahoma" w:eastAsia="微软雅黑" w:hAnsi="Tahoma"/>
      <w:kern w:val="0"/>
      <w:sz w:val="22"/>
      <w:szCs w:val="22"/>
    </w:rPr>
  </w:style>
  <w:style w:type="paragraph" w:customStyle="1" w:styleId="fs20fcrfw">
    <w:name w:val="fs20 fcr fw"/>
    <w:basedOn w:val="a"/>
    <w:pPr>
      <w:widowControl/>
      <w:spacing w:before="100" w:beforeAutospacing="1" w:after="100" w:afterAutospacing="1"/>
      <w:jc w:val="left"/>
    </w:pPr>
    <w:rPr>
      <w:rFonts w:ascii="宋体" w:eastAsia="宋体" w:hAnsi="宋体" w:cs="宋体"/>
      <w:kern w:val="0"/>
      <w:sz w:val="24"/>
    </w:rPr>
  </w:style>
  <w:style w:type="paragraph" w:customStyle="1" w:styleId="fs12">
    <w:name w:val="fs12"/>
    <w:basedOn w:val="a"/>
    <w:pPr>
      <w:widowControl/>
      <w:spacing w:before="100" w:beforeAutospacing="1" w:after="100" w:afterAutospacing="1"/>
      <w:jc w:val="left"/>
    </w:pPr>
    <w:rPr>
      <w:rFonts w:ascii="宋体" w:eastAsia="宋体" w:hAnsi="宋体" w:cs="宋体"/>
      <w:kern w:val="0"/>
      <w:sz w:val="24"/>
    </w:rPr>
  </w:style>
  <w:style w:type="paragraph" w:customStyle="1" w:styleId="Char10">
    <w:name w:val="Char1"/>
    <w:basedOn w:val="a"/>
    <w:rPr>
      <w:rFonts w:ascii="仿宋_GB2312" w:eastAsia="宋体"/>
      <w:sz w:val="21"/>
    </w:rPr>
  </w:style>
  <w:style w:type="paragraph" w:customStyle="1" w:styleId="p0">
    <w:name w:val="p0"/>
    <w:basedOn w:val="a"/>
    <w:pPr>
      <w:widowControl/>
    </w:pPr>
    <w:rPr>
      <w:rFonts w:eastAsia="宋体"/>
      <w:kern w:val="0"/>
      <w:sz w:val="21"/>
      <w:szCs w:val="21"/>
    </w:rPr>
  </w:style>
  <w:style w:type="paragraph" w:customStyle="1" w:styleId="12">
    <w:name w:val="列出段落1"/>
    <w:basedOn w:val="a"/>
    <w:pPr>
      <w:ind w:firstLineChars="200" w:firstLine="420"/>
    </w:pPr>
    <w:rPr>
      <w:rFonts w:ascii="Calibri" w:eastAsia="仿宋" w:hAnsi="Calibri"/>
    </w:rPr>
  </w:style>
  <w:style w:type="character" w:customStyle="1" w:styleId="ca-31">
    <w:name w:val="ca-31"/>
    <w:rPr>
      <w:rFonts w:ascii="仿宋_GB2312" w:eastAsia="仿宋_GB2312" w:hint="eastAsia"/>
      <w:sz w:val="32"/>
      <w:szCs w:val="32"/>
    </w:rPr>
  </w:style>
  <w:style w:type="character" w:customStyle="1" w:styleId="Char0">
    <w:name w:val="副标题 Char"/>
    <w:link w:val="ab"/>
    <w:rPr>
      <w:rFonts w:ascii="Cambria" w:eastAsia="宋体" w:hAnsi="Cambria"/>
      <w:b/>
      <w:bCs/>
      <w:kern w:val="28"/>
      <w:sz w:val="32"/>
      <w:szCs w:val="32"/>
      <w:lang w:val="en-US" w:eastAsia="zh-CN" w:bidi="ar-SA"/>
    </w:rPr>
  </w:style>
  <w:style w:type="character" w:customStyle="1" w:styleId="New0">
    <w:name w:val="要点 New"/>
    <w:rPr>
      <w:b/>
      <w:bCs/>
    </w:rPr>
  </w:style>
  <w:style w:type="character" w:customStyle="1" w:styleId="Char1">
    <w:name w:val="纯文本 Char1"/>
    <w:link w:val="a7"/>
    <w:locked/>
    <w:rPr>
      <w:rFonts w:ascii="宋体" w:eastAsia="宋体" w:hAnsi="Courier New" w:cs="Courier New"/>
      <w:kern w:val="2"/>
      <w:sz w:val="21"/>
      <w:szCs w:val="21"/>
      <w:lang w:val="en-US" w:eastAsia="zh-CN" w:bidi="ar-SA"/>
    </w:rPr>
  </w:style>
  <w:style w:type="character" w:customStyle="1" w:styleId="CharChar">
    <w:name w:val="Char Char"/>
    <w:rPr>
      <w:rFonts w:ascii="宋体" w:eastAsia="宋体" w:hAnsi="Courier New" w:cs="Courier New"/>
      <w:kern w:val="2"/>
      <w:sz w:val="21"/>
      <w:szCs w:val="21"/>
      <w:lang w:val="en-US" w:eastAsia="zh-CN" w:bidi="ar-SA"/>
    </w:rPr>
  </w:style>
  <w:style w:type="character" w:customStyle="1" w:styleId="2Char0">
    <w:name w:val="正文文本 2 Char"/>
    <w:link w:val="21"/>
    <w:locked/>
    <w:rPr>
      <w:rFonts w:eastAsia="宋体"/>
      <w:kern w:val="2"/>
      <w:sz w:val="21"/>
      <w:szCs w:val="24"/>
      <w:lang w:val="en-US" w:eastAsia="zh-CN" w:bidi="ar-SA"/>
    </w:rPr>
  </w:style>
  <w:style w:type="character" w:customStyle="1" w:styleId="CharChar4">
    <w:name w:val="Char Char4"/>
    <w:locked/>
    <w:rPr>
      <w:rFonts w:ascii="宋体" w:eastAsia="宋体" w:hAnsi="Courier New" w:cs="Courier New"/>
      <w:kern w:val="2"/>
      <w:sz w:val="21"/>
      <w:szCs w:val="21"/>
      <w:lang w:val="en-US" w:eastAsia="zh-CN" w:bidi="ar-SA"/>
    </w:rPr>
  </w:style>
  <w:style w:type="character" w:customStyle="1" w:styleId="apple-converted-space">
    <w:name w:val="apple-converted-space"/>
    <w:basedOn w:val="a0"/>
  </w:style>
  <w:style w:type="character" w:customStyle="1" w:styleId="Char">
    <w:name w:val="正文文本 Char"/>
    <w:link w:val="a4"/>
    <w:semiHidden/>
    <w:locked/>
    <w:rPr>
      <w:rFonts w:ascii="黑体" w:eastAsia="黑体"/>
      <w:kern w:val="2"/>
      <w:sz w:val="40"/>
      <w:szCs w:val="24"/>
      <w:lang w:val="en-US" w:eastAsia="zh-CN" w:bidi="ar-SA"/>
    </w:rPr>
  </w:style>
  <w:style w:type="character" w:customStyle="1" w:styleId="PlainTextChar">
    <w:name w:val="Plain Text Char"/>
    <w:semiHidden/>
    <w:locked/>
    <w:rPr>
      <w:rFonts w:ascii="宋体" w:hAnsi="Courier New" w:cs="Courier New"/>
      <w:kern w:val="2"/>
      <w:sz w:val="21"/>
      <w:szCs w:val="21"/>
    </w:rPr>
  </w:style>
  <w:style w:type="character" w:customStyle="1" w:styleId="1Char1">
    <w:name w:val="标题 1 Char1"/>
    <w:link w:val="1"/>
    <w:locked/>
    <w:rPr>
      <w:rFonts w:eastAsia="宋体"/>
      <w:b/>
      <w:bCs/>
      <w:kern w:val="44"/>
      <w:sz w:val="44"/>
      <w:szCs w:val="44"/>
      <w:lang w:val="en-US" w:eastAsia="zh-CN" w:bidi="ar-SA"/>
    </w:rPr>
  </w:style>
  <w:style w:type="character" w:customStyle="1" w:styleId="2Char">
    <w:name w:val="标题 2 Char"/>
    <w:link w:val="2"/>
    <w:locked/>
    <w:rPr>
      <w:rFonts w:ascii="Arial" w:eastAsia="黑体" w:hAnsi="Arial"/>
      <w:b/>
      <w:bCs/>
      <w:kern w:val="2"/>
      <w:sz w:val="32"/>
      <w:szCs w:val="32"/>
      <w:lang w:val="en-US" w:eastAsia="zh-CN" w:bidi="ar-SA"/>
    </w:rPr>
  </w:style>
  <w:style w:type="character" w:customStyle="1" w:styleId="title-text">
    <w:name w:val="title-text"/>
    <w:rPr>
      <w:rFonts w:cs="Times New Roman"/>
    </w:rPr>
  </w:style>
  <w:style w:type="character" w:customStyle="1" w:styleId="BodyTextChar">
    <w:name w:val="Body Text Char"/>
    <w:locked/>
    <w:rPr>
      <w:rFonts w:ascii="Times New Roman" w:eastAsia="宋体" w:hAnsi="Times New Roman" w:cs="Times New Roman"/>
      <w:sz w:val="20"/>
      <w:szCs w:val="20"/>
    </w:rPr>
  </w:style>
  <w:style w:type="character" w:customStyle="1" w:styleId="BodyText2Char">
    <w:name w:val="Body Text 2 Char"/>
    <w:locked/>
    <w:rPr>
      <w:rFonts w:ascii="Times New Roman" w:eastAsia="宋体" w:hAnsi="Times New Roman" w:cs="Times New Roman"/>
      <w:sz w:val="24"/>
      <w:szCs w:val="24"/>
    </w:rPr>
  </w:style>
  <w:style w:type="character" w:customStyle="1" w:styleId="Char3">
    <w:name w:val="纯文本 Char"/>
    <w:locked/>
    <w:rPr>
      <w:rFonts w:ascii="宋体" w:eastAsia="宋体" w:hAnsi="Courier New"/>
      <w:kern w:val="2"/>
      <w:sz w:val="21"/>
      <w:szCs w:val="21"/>
      <w:lang w:bidi="ar-SA"/>
    </w:rPr>
  </w:style>
  <w:style w:type="character" w:customStyle="1" w:styleId="16">
    <w:name w:val="16"/>
    <w:rPr>
      <w:rFonts w:ascii="Times New Roman" w:hAnsi="Times New Roman" w:cs="Times New Roman" w:hint="default"/>
      <w:b/>
      <w:bCs/>
    </w:rPr>
  </w:style>
  <w:style w:type="character" w:customStyle="1" w:styleId="1Char">
    <w:name w:val="标题 1 Char"/>
    <w:locked/>
    <w:rPr>
      <w:rFonts w:ascii="宋体" w:eastAsia="宋体" w:hAnsi="宋体"/>
      <w:b/>
      <w:color w:val="333333"/>
      <w:kern w:val="44"/>
      <w:sz w:val="42"/>
      <w:szCs w:val="4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济南市人民代表大会常务委员会</dc:title>
  <dc:creator>Happy 2005</dc:creator>
  <cp:lastModifiedBy>管理员</cp:lastModifiedBy>
  <cp:revision>22</cp:revision>
  <cp:lastPrinted>2017-02-14T06:18:00Z</cp:lastPrinted>
  <dcterms:created xsi:type="dcterms:W3CDTF">2017-02-14T06:20:00Z</dcterms:created>
  <dcterms:modified xsi:type="dcterms:W3CDTF">2017-04-18T03:04:00Z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