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衡阳市人民代表大会及其常务委员会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制定地方性法规条例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方正小标宋简体" w:hAnsi="方正小标宋简体" w:eastAsia="方正小标宋简体" w:cs="方正小标宋简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（2020年1月10日衡阳市第十五届人民代表大会第七次会议通过  2020年3月31日湖南省第十三届人民代表大会常务委员会第十六次会议批准）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70" w:lineRule="exact"/>
        <w:ind w:left="632" w:leftChars="200" w:right="632" w:rightChars="200" w:firstLine="0" w:firstLineChars="0"/>
        <w:jc w:val="both"/>
        <w:textAlignment w:val="auto"/>
        <w:outlineLvl w:val="9"/>
        <w:rPr>
          <w:rFonts w:hint="eastAsia" w:ascii="楷体" w:hAnsi="楷体" w:eastAsia="楷体" w:cs="楷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目    录</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第四章  地方</w:t>
      </w:r>
      <w:bookmarkStart w:id="0" w:name="_GoBack"/>
      <w:bookmarkEnd w:id="0"/>
      <w:r>
        <w:rPr>
          <w:rFonts w:hint="eastAsia" w:ascii="楷体_GB2312" w:hAnsi="楷体_GB2312" w:eastAsia="楷体_GB2312" w:cs="楷体_GB2312"/>
          <w:color w:val="000000" w:themeColor="text1"/>
          <w:sz w:val="32"/>
          <w:szCs w:val="32"/>
        </w:rPr>
        <w:t>性法规的报批、公布和解释</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第六章  附则</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楷体" w:hAnsi="楷体" w:eastAsia="楷体" w:cs="楷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第一章  总则</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第一条</w:t>
      </w:r>
      <w:r>
        <w:rPr>
          <w:rFonts w:hint="eastAsia" w:ascii="仿宋" w:hAnsi="仿宋" w:eastAsia="仿宋"/>
          <w:color w:val="000000" w:themeColor="text1"/>
          <w:sz w:val="32"/>
          <w:szCs w:val="32"/>
        </w:rPr>
        <w:t xml:space="preserve">  </w:t>
      </w:r>
      <w:r>
        <w:rPr>
          <w:rFonts w:hint="eastAsia" w:ascii="仿宋_GB2312" w:hAnsi="仿宋_GB2312" w:eastAsia="仿宋_GB2312" w:cs="仿宋_GB2312"/>
          <w:color w:val="000000" w:themeColor="text1"/>
          <w:sz w:val="32"/>
          <w:szCs w:val="32"/>
        </w:rPr>
        <w:t>为了规范地方立法活动，提高立法质量，维护社会主义法制的统一，发挥立法的引领和推动作用，根据《中华人民共和国地方各级人民代表大会和地方各级人民政府组织法》《中华人民共和国立法法》和《湖南省地方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 w:hAnsi="仿宋" w:eastAsia="仿宋"/>
          <w:color w:val="000000" w:themeColor="text1"/>
          <w:sz w:val="32"/>
          <w:szCs w:val="32"/>
        </w:rPr>
      </w:pPr>
      <w:r>
        <w:rPr>
          <w:rFonts w:hint="eastAsia" w:ascii="黑体" w:hAnsi="黑体" w:eastAsia="黑体" w:cs="黑体"/>
          <w:bCs/>
          <w:color w:val="000000" w:themeColor="text1"/>
          <w:sz w:val="32"/>
          <w:szCs w:val="32"/>
        </w:rPr>
        <w:t xml:space="preserve">第二条 </w:t>
      </w:r>
      <w:r>
        <w:rPr>
          <w:rFonts w:hint="eastAsia" w:ascii="仿宋" w:hAnsi="仿宋" w:eastAsia="仿宋"/>
          <w:color w:val="000000" w:themeColor="text1"/>
          <w:sz w:val="32"/>
          <w:szCs w:val="32"/>
        </w:rPr>
        <w:t xml:space="preserve"> </w:t>
      </w:r>
      <w:r>
        <w:rPr>
          <w:rFonts w:hint="eastAsia" w:ascii="仿宋_GB2312" w:hAnsi="仿宋_GB2312" w:eastAsia="仿宋_GB2312" w:cs="仿宋_GB2312"/>
          <w:color w:val="000000" w:themeColor="text1"/>
          <w:sz w:val="32"/>
          <w:szCs w:val="32"/>
        </w:rPr>
        <w:t>市人民代表大会及其常务委员会制定、修改、废止、解释地方性法规及其相关活动，适用本条例。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第三条</w:t>
      </w:r>
      <w:r>
        <w:rPr>
          <w:rFonts w:hint="eastAsia" w:ascii="仿宋" w:hAnsi="仿宋" w:eastAsia="仿宋"/>
          <w:color w:val="000000" w:themeColor="text1"/>
          <w:sz w:val="32"/>
          <w:szCs w:val="32"/>
        </w:rPr>
        <w:t xml:space="preserve">  </w:t>
      </w:r>
      <w:r>
        <w:rPr>
          <w:rFonts w:hint="eastAsia" w:ascii="仿宋_GB2312" w:hAnsi="仿宋_GB2312" w:eastAsia="仿宋_GB2312" w:cs="仿宋_GB2312"/>
          <w:color w:val="000000" w:themeColor="text1"/>
          <w:sz w:val="32"/>
          <w:szCs w:val="32"/>
        </w:rPr>
        <w:t xml:space="preserve">市人民代表大会及其常务委员会根据本市的具体情况和实际需要，在不同宪法、法律、行政法规和本省地方性法规相抵触的前提下，可以对城乡建设与管理、环境保护、历史文化保护等方面的事项制定地方性法规。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第四条</w:t>
      </w:r>
      <w:r>
        <w:rPr>
          <w:rFonts w:hint="eastAsia" w:ascii="仿宋" w:hAnsi="仿宋" w:eastAsia="仿宋"/>
          <w:color w:val="000000" w:themeColor="text1"/>
          <w:sz w:val="32"/>
          <w:szCs w:val="32"/>
        </w:rPr>
        <w:t xml:space="preserve">  </w:t>
      </w:r>
      <w:r>
        <w:rPr>
          <w:rFonts w:hint="eastAsia" w:ascii="仿宋_GB2312" w:hAnsi="仿宋_GB2312" w:eastAsia="仿宋_GB2312" w:cs="仿宋_GB2312"/>
          <w:color w:val="000000" w:themeColor="text1"/>
          <w:sz w:val="32"/>
          <w:szCs w:val="32"/>
        </w:rPr>
        <w:t>制定地方性法规，应当坚持中国共产党的领导，遵循《中华人民共和国立法法》规定的基本原则，坚持不抵触、有特色、可操作。对上位法已经明确规定的内容，一般不作重复性规定。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第五条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规定本市特别重大事项的地方性法规，应当由市人民代表大会制定。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第六条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市人民代表大会及其常务委员会应当加强立法工作组织协调，推进科学立法、民主立法、依法立法，发挥在立法工作中的主导作用,注重提高立法质量。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第二章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第七条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一个代表团或者十名以上代表联名，可以向市人民代表大会提出地方性法规案，由主席团决定是否列入会议议程，或者先交有关的专门委员会审议并提出是否列入会议议程的意见，再决定是否列入会议议程。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第八条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 xml:space="preserve">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第九条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常务委员会决定提请市人民代表大会会议审议的地方性法规案，应当在会议举行的十五日前将法规草案发给代表。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大会全体会议听取提案人的说明后，由各代表团进行审议。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第十一条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第十二条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会议议程的地方性法规案，由法制委员会根据各代表团和有关的专门委员会的审议意见，对地方性法规草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第十三条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 xml:space="preserve">列入市人民代表大会会议议程的地方性法规案，必要时，主席团常务主席可以召开各代表团团长或者代表团推选的代表会议，就地方性法规案中的重大问题或者重大的专门性问题听取各代表团的审议意见，进行讨论，并将讨论的情况和意见向主席团报告。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第十四条</w:t>
      </w:r>
      <w:r>
        <w:rPr>
          <w:rFonts w:hint="eastAsia" w:ascii="黑体" w:hAnsi="黑体" w:eastAsia="黑体" w:cs="黑体"/>
          <w:bCs/>
          <w:color w:val="000000" w:themeColor="text1"/>
          <w:sz w:val="32"/>
          <w:szCs w:val="32"/>
          <w:lang w:val="en-US" w:eastAsia="zh-CN"/>
        </w:rPr>
        <w:t xml:space="preserve"> </w:t>
      </w:r>
      <w:r>
        <w:rPr>
          <w:rFonts w:hint="eastAsia" w:ascii="仿宋" w:hAnsi="仿宋" w:eastAsia="仿宋"/>
          <w:color w:val="000000" w:themeColor="text1"/>
          <w:sz w:val="32"/>
          <w:szCs w:val="32"/>
        </w:rPr>
        <w:t xml:space="preserve"> </w:t>
      </w:r>
      <w:r>
        <w:rPr>
          <w:rFonts w:hint="eastAsia" w:ascii="仿宋_GB2312" w:hAnsi="仿宋_GB2312" w:eastAsia="仿宋_GB2312" w:cs="仿宋_GB2312"/>
          <w:color w:val="000000" w:themeColor="text1"/>
          <w:sz w:val="3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第十五条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地方性法规案在审议中有重大问题需要进一步研究的，经主席团提出，由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第十六条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第三章  市人民代表大会常务委员会</w:t>
      </w:r>
    </w:p>
    <w:p>
      <w:pPr>
        <w:keepNext w:val="0"/>
        <w:keepLines w:val="0"/>
        <w:pageBreakBefore w:val="0"/>
        <w:widowControl w:val="0"/>
        <w:kinsoku/>
        <w:wordWrap/>
        <w:overflowPunct/>
        <w:topLinePunct w:val="0"/>
        <w:autoSpaceDE/>
        <w:autoSpaceDN/>
        <w:bidi w:val="0"/>
        <w:adjustRightInd/>
        <w:snapToGrid/>
        <w:spacing w:line="570" w:lineRule="exact"/>
        <w:ind w:firstLine="3280" w:firstLineChars="1025"/>
        <w:jc w:val="both"/>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制定地方性法规程序</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黑体" w:hAnsi="黑体" w:eastAsia="黑体" w:cs="黑体"/>
          <w:bCs/>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第十七条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政府、市人民代表大会专门委员会可以向市人民代表大会常务委员会提出地方性法规案，由主任会议决定列入常务委员会会议议程，或者先交有关的专门委员会审议并提出报告，再决定列入常务委员会会议议程。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第十八条</w:t>
      </w:r>
      <w:r>
        <w:rPr>
          <w:rFonts w:hint="eastAsia" w:ascii="黑体" w:hAnsi="黑体" w:eastAsia="黑体" w:cs="黑体"/>
          <w:bCs/>
          <w:color w:val="000000" w:themeColor="text1"/>
          <w:sz w:val="32"/>
          <w:szCs w:val="32"/>
          <w:lang w:val="en-US" w:eastAsia="zh-CN"/>
        </w:rPr>
        <w:t xml:space="preserve"> </w:t>
      </w:r>
      <w:r>
        <w:rPr>
          <w:rFonts w:hint="eastAsia" w:ascii="黑体" w:hAnsi="黑体" w:eastAsia="黑体" w:cs="黑体"/>
          <w:bCs/>
          <w:color w:val="000000" w:themeColor="text1"/>
          <w:sz w:val="32"/>
          <w:szCs w:val="32"/>
        </w:rPr>
        <w:t xml:space="preserve"> </w:t>
      </w:r>
      <w:r>
        <w:rPr>
          <w:rFonts w:hint="eastAsia" w:ascii="仿宋_GB2312" w:hAnsi="仿宋_GB2312" w:eastAsia="仿宋_GB2312" w:cs="仿宋_GB2312"/>
          <w:color w:val="000000" w:themeColor="text1"/>
          <w:sz w:val="32"/>
          <w:szCs w:val="32"/>
        </w:rPr>
        <w:t>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第十九条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市人民代表大会主席团交市人民代表大会常务委员会审议的地方性法规案，由主任会议决定列入常务委员会会议议程。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第二十条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提请市人民代表大会常务委员会会议审议的地方性法规案，提案人一般应当在会议举行的三十日前向常务委员会提出。</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列入常务委员会会议议程的地方性法规案，一般应当在会议举行的七日前将法规草案、法规草案说明及有关资料发送给常务委员会组成人员。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常务委员会会议审议地方性法规案，应当邀请有关的人大代表列席会议。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第二十一条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列入市人民代表大会常务委员会会议议程的地方性法规案，一般应当经过三次常务委员会会议审议后再交付表决。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常务委员会会议第一次审议地方性法规案，在全体会议上听取提案人的说明，由分组会议或者全体会议进行初步审议。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常务委员会会议第二次审议地方性法规案，在全体会议上听取法制委员会关于法规草案修改情况的汇报，由分组会议或者全体会议进一步审议。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常务委员会会议第三次审议地方性法规案，在全体会议上听取法制委员会关于法规草案审议结果的报告，由分组会议或者全体会议对法规草案修改稿进行审议。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第二十二条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各方面意见比较一致的，可以经两次常务委员会会议审议后交付表决。调整事项较为单一或者部分修改的地方性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列入常务委员会会议议程的废止法规的决定案和其他有关法规问题的决定案，一般经过一次常务委员会会议审议即可交付表决。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第二十三条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第二十四条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 xml:space="preserve">列入市人民代表大会常务委员会会议议程的地方性法规案，由有关的专门委员会召开全体会议进行审议，提出审议意见的报告。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有关的专门委员会审议地方性法规案时，可以邀请其他专门委员会的成员或者常务委员会工作机构的负责人列席会议，发表意见；根据需要，可以要求有关机关、组织派人说明情况。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第二十五条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由法制委员会根据常务委员会组成人员、有关的专门委员会的审议意见和各方面提出的意见，召开全体会议对地方性法规案进行统一审议，提出修改情况的汇报或者审议结果的报告和法规草案修改稿，对重要的不同意见应当在修改情况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法制委员会审议地方性法规案时，应当邀请有关的专门委员会的成员列席会议，发表意见；根据需要，可以要求有关机关、组织派人说明情况。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第二十六条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第二十七条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 xml:space="preserve">列入市人民代表大会常务委员会会议议程的地方性法规案，法制委员会、有关的专门委员会和常务委员会法制工作委员会应当就地方性法规案的有关问题调查研究，听取各方面的意见。听取意见可以采取座谈会、论证会、听证会、实地考察等形式。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地方性法规案中有关问题专业性较强，需要进行可行性评价的，应当召开论证会，听取有关专家、部门和人大代表等方面的意见。</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地方性法规案中有关问题存在重大意见分歧或者涉及利益关系重大调整，需要进行听证的，应当召开听证会，听取人大代表、基层和群体代表、相关部门、人民团体、专家学者和社会有关方面的意见。</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第二十八条</w:t>
      </w:r>
      <w:r>
        <w:rPr>
          <w:rFonts w:hint="eastAsia" w:ascii="黑体" w:hAnsi="黑体" w:eastAsia="黑体" w:cs="黑体"/>
          <w:bCs/>
          <w:color w:val="000000" w:themeColor="text1"/>
          <w:sz w:val="32"/>
          <w:szCs w:val="32"/>
          <w:lang w:val="en-US" w:eastAsia="zh-CN"/>
        </w:rPr>
        <w:t xml:space="preserve"> </w:t>
      </w:r>
      <w:r>
        <w:rPr>
          <w:rFonts w:hint="eastAsia" w:ascii="仿宋" w:hAnsi="仿宋" w:eastAsia="仿宋"/>
          <w:color w:val="000000" w:themeColor="text1"/>
          <w:sz w:val="32"/>
          <w:szCs w:val="32"/>
        </w:rPr>
        <w:t xml:space="preserve"> </w:t>
      </w:r>
      <w:r>
        <w:rPr>
          <w:rFonts w:hint="eastAsia" w:ascii="仿宋_GB2312" w:hAnsi="仿宋_GB2312" w:eastAsia="仿宋_GB2312" w:cs="仿宋_GB2312"/>
          <w:color w:val="000000" w:themeColor="text1"/>
          <w:sz w:val="32"/>
          <w:szCs w:val="32"/>
        </w:rPr>
        <w:t>在市人民代表大会常务委员会审议地方性法规案后，应当将法规草案及其起草、修改的说明等通过《衡阳日报》、衡阳人大网等媒介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第二十九条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拟提请市人民代表大会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第三十一条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地方性法规案经三次市人民代表大会常务委员会会议审议后，仍有重大问题需要进一步研究的，由主任会议决定，可以暂不付表决，交法制委员会进一步审议。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第三十二条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法规草案修改稿经市人民代表大会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单独表决的条款经常务委员会会议表决后，主任会议根据单独表决的情况，可以决定将法规草案表决稿交付表决，也可以决定暂不付表决，交法制委员会或者有关的专门委员会进一步审议。</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第三十三条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列入市人民代表大会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第四章  地方性法规的报批、公布和解释</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第三十四条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市人民代表大会及其常务委员会表决通过的地方性法规，应当自通过之日起三十日内由常务委员会报请省人民代表大会常务委员会批准，未经批准，不得施行。</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第三十五条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报请批准的地方性法规在省人民代表大会常务委员会批准后三十日内，由市人民代表大会常务委员会发布公告予以公布，并在《衡阳日报》上刊登公告和地方性法规全文。公告中应当载明该地方性法规的制定机关、通过和施行日期，并注明批准机关和批准时间。</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公布后，应当在《衡阳市人民代表大会常务委员会公报》和衡阳人大网上全文刊登。在公报上刊登的地方性法规文本为标准文本。地方性法规被修改的，应当公布新的地方性法规文本。地方性法规被废止的，应当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地方性法规发布公告予以公布之日起十日内，市人民代表大会常务委员会应当将有关地方性法规标准文本和公告等书面报送省人民代表大会常务委员会。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第三十六条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市人民代表大会及其常务委员会制定的地方性法规，其解释权属于常务委员会。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（二）地方性法规制定后出现新的情况，需要明确适用依据的。</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市人民政府、市中级人民法院、市人民检察院和市人民代表大会专门委员会以及各县（市、区）人民代表大会常务委员会可以向市人民代表大会常务委员会提出地方性法规解释要求。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市人民代表大会常务委员会对地方性法规的解释，与地方性法规具有同等效力。</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第三十七条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市人民代表大会常务委员会法制工作委员会研究拟订法规解释草案，由主任会议决定列入常务委员会会议议程。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法规解释草案经常务委员会会议审议，由常务委员会法制工作委员会根据常务委员会组成人员的审议意见进行修改，再由法制委员会统一审议，提出地方性法规解释草案表决稿。</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第三十八条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法规解释草案表决稿由市人民代表大会常务委员会全体组成人员的过半数通过。法规解释作出后，应当自公布之日起三十日内报省人民代表大会常务委员会备案。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第五章  其他规定</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第三十九条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市人民代表大会常务委员会应当编制年度立法计划，根据需要可以编制立法规划。立法计划和立法规划应当向社会公布。</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编制立法规划和立法计划，应当征求省人民代表大会常务委员会法制工作委员会的意见。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市人民代表大会常务委员会法制工作委员会根据各专门委员会、市人民政府法制工作机构以及有关方面的立法建议，统一研究、协调论证，提出立法规划草案和立法计划草案，提请主任会议确定。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立法规划和立法计划在执行过程中需要作适当调整的，由常务委员会法制工作委员会根据专门委员会和有关方面的建议提出方案，报请主任会议决定。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第四十一条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法规草案一般由提案人组织起草。</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有关的专门委员会、常务委员会工作机构应当提前参与有关方面的法规草案起草工作；综合性、全局性、基础性的重要法规草案，可以由有关的专门委员会、常务委员会工作机构组织起草。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 xml:space="preserve">专业性较强的法规草案，可以吸收相关领域专家参与起草工作，或者委托有关专家、教学科研单位、社会组织起草。 </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 xml:space="preserve">第四十二条 </w:t>
      </w:r>
      <w:r>
        <w:rPr>
          <w:rFonts w:hint="eastAsia" w:ascii="黑体" w:hAnsi="黑体" w:eastAsia="黑体" w:cs="黑体"/>
          <w:bCs/>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第四十三条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第四十四条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交付市人民代表大会及其常务委员会全体会议表决未获通过的地方性法规案，如果提案人认为必须制定该地方性法规，可以按照本条例规定的程序重新提出，由主席团、主任会议决定是否列入会议议程。</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第四十五条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市人民代表大会及其常务委员会制定的地方性法规，在表决前应当报请省人民代表大会常务委员会法制工作委员会指导。</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第四十六条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及其常务委员会制定的地方性法规，在报请省人民代表大会常务委员会批准过程中，市人民代表大会常务委员会或者其授权的主任会议可以根据省人民代表大会常务委员会的审查意见，对地方性法规个别条文进行修改。</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第四十七条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地方性法规的修改、废止程序，适用本条例的有关规定。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第四十八条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地方性法规明确要求有关国家机关对专门事项作出配套规定的，有关国家机关应当自法规施行之日起一年内作出规定。法规另有规定的，从其规定。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有关国家机关未能在期限内作出配套规定的，应当向市人民代表大会常务委员会说明情况。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第四十九条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市人民代表大会有关的专门委员会、常务委员会法制工作委员会可以组织对有关法规或者法规中有关规定进行立法后评估。评估情况应当向常务委员会报告。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第五十条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市人民代表大会常务委员会法制工作委员会可以对地方性法规有关具体问题的询问进行研究予以答复，并报常务委员会备案。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jc w:val="center"/>
        <w:textAlignment w:val="auto"/>
        <w:outlineLvl w:val="9"/>
        <w:rPr>
          <w:rFonts w:hint="eastAsia" w:ascii="黑体" w:hAnsi="黑体" w:eastAsia="黑体"/>
          <w:color w:val="000000" w:themeColor="text1"/>
          <w:sz w:val="32"/>
          <w:szCs w:val="32"/>
        </w:rPr>
      </w:pPr>
      <w:r>
        <w:rPr>
          <w:rFonts w:hint="eastAsia" w:ascii="黑体" w:hAnsi="黑体" w:eastAsia="黑体"/>
          <w:color w:val="000000" w:themeColor="text1"/>
          <w:sz w:val="32"/>
          <w:szCs w:val="32"/>
        </w:rPr>
        <w:t>第六章  附则</w:t>
      </w:r>
    </w:p>
    <w:p>
      <w:pPr>
        <w:keepNext w:val="0"/>
        <w:keepLines w:val="0"/>
        <w:pageBreakBefore w:val="0"/>
        <w:widowControl w:val="0"/>
        <w:kinsoku/>
        <w:wordWrap/>
        <w:overflowPunct/>
        <w:topLinePunct w:val="0"/>
        <w:autoSpaceDE/>
        <w:autoSpaceDN/>
        <w:bidi w:val="0"/>
        <w:adjustRightInd/>
        <w:snapToGrid/>
        <w:spacing w:line="570" w:lineRule="exact"/>
        <w:jc w:val="both"/>
        <w:textAlignment w:val="auto"/>
        <w:outlineLvl w:val="9"/>
        <w:rPr>
          <w:rFonts w:hint="eastAsia" w:ascii="仿宋" w:hAnsi="仿宋" w:eastAsia="仿宋"/>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jc w:val="both"/>
        <w:textAlignment w:val="auto"/>
        <w:outlineLvl w:val="9"/>
        <w:rPr>
          <w:rFonts w:hint="eastAsia"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第五十一条</w:t>
      </w:r>
      <w:r>
        <w:rPr>
          <w:rFonts w:hint="eastAsia" w:ascii="仿宋" w:hAnsi="仿宋" w:eastAsia="仿宋"/>
          <w:color w:val="000000" w:themeColor="text1"/>
          <w:sz w:val="32"/>
          <w:szCs w:val="32"/>
        </w:rPr>
        <w:t xml:space="preserve"> </w:t>
      </w:r>
      <w:r>
        <w:rPr>
          <w:rFonts w:hint="eastAsia" w:ascii="仿宋" w:hAnsi="仿宋" w:eastAsia="仿宋"/>
          <w:color w:val="000000" w:themeColor="text1"/>
          <w:sz w:val="32"/>
          <w:szCs w:val="32"/>
          <w:lang w:val="en-US" w:eastAsia="zh-CN"/>
        </w:rPr>
        <w:t xml:space="preserve"> </w:t>
      </w:r>
      <w:r>
        <w:rPr>
          <w:rFonts w:hint="eastAsia" w:ascii="仿宋_GB2312" w:hAnsi="仿宋_GB2312" w:eastAsia="仿宋_GB2312" w:cs="仿宋_GB2312"/>
          <w:color w:val="000000" w:themeColor="text1"/>
          <w:sz w:val="32"/>
          <w:szCs w:val="32"/>
        </w:rPr>
        <w:t>本条例自2020年5月1日起施行。</w:t>
      </w:r>
    </w:p>
    <w:p>
      <w:pPr>
        <w:spacing w:line="580" w:lineRule="exact"/>
        <w:rPr>
          <w:color w:val="000000" w:themeColor="text1"/>
        </w:rPr>
      </w:pPr>
    </w:p>
    <w:p>
      <w:pPr>
        <w:spacing w:line="240" w:lineRule="auto"/>
        <w:ind w:firstLine="640"/>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decorative"/>
    <w:pitch w:val="default"/>
    <w:sig w:usb0="00000001" w:usb1="080E0000" w:usb2="0000000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roman"/>
    <w:pitch w:val="default"/>
    <w:sig w:usb0="00007A87" w:usb1="80000000" w:usb2="00000008" w:usb3="00000000" w:csb0="400001FF" w:csb1="FFFF0000"/>
  </w:font>
  <w:font w:name="楷体_GB2312">
    <w:panose1 w:val="02010609030101010101"/>
    <w:charset w:val="86"/>
    <w:family w:val="decorative"/>
    <w:pitch w:val="default"/>
    <w:sig w:usb0="00000001" w:usb1="080E0000" w:usb2="00000000" w:usb3="00000000" w:csb0="0004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楷体">
    <w:altName w:val="楷体_GB2312"/>
    <w:panose1 w:val="02010609060101010101"/>
    <w:charset w:val="86"/>
    <w:family w:val="decorative"/>
    <w:pitch w:val="default"/>
    <w:sig w:usb0="00000000" w:usb1="00000000" w:usb2="00000016" w:usb3="00000000" w:csb0="00040001" w:csb1="00000000"/>
  </w:font>
  <w:font w:name="黑体">
    <w:panose1 w:val="02010600030101010101"/>
    <w:charset w:val="86"/>
    <w:family w:val="decorative"/>
    <w:pitch w:val="default"/>
    <w:sig w:usb0="00000001" w:usb1="080E0000" w:usb2="00000000" w:usb3="00000000" w:csb0="00040000" w:csb1="00000000"/>
  </w:font>
  <w:font w:name="仿宋">
    <w:altName w:val="仿宋_GB2312"/>
    <w:panose1 w:val="02010609060101010101"/>
    <w:charset w:val="86"/>
    <w:family w:val="decorative"/>
    <w:pitch w:val="default"/>
    <w:sig w:usb0="00000000" w:usb1="00000000" w:usb2="00000016" w:usb3="00000000" w:csb0="00040001"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仿宋_GB2312">
    <w:panose1 w:val="02010609030101010101"/>
    <w:charset w:val="86"/>
    <w:family w:val="roman"/>
    <w:pitch w:val="default"/>
    <w:sig w:usb0="00000001" w:usb1="080E0000" w:usb2="00000000" w:usb3="00000000" w:csb0="00040000" w:csb1="00000000"/>
  </w:font>
  <w:font w:name="ˎ̥">
    <w:altName w:val="Times New Roman"/>
    <w:panose1 w:val="00000000000000000000"/>
    <w:charset w:val="00"/>
    <w:family w:val="decorative"/>
    <w:pitch w:val="default"/>
    <w:sig w:usb0="00000000" w:usb1="00000000" w:usb2="00000000" w:usb3="00000000" w:csb0="00040001" w:csb1="00000000"/>
  </w:font>
  <w:font w:name="Arial">
    <w:panose1 w:val="020B0604020202020204"/>
    <w:charset w:val="00"/>
    <w:family w:val="modern"/>
    <w:pitch w:val="default"/>
    <w:sig w:usb0="00007A87" w:usb1="80000000" w:usb2="00000008" w:usb3="00000000" w:csb0="400001FF" w:csb1="FFFF0000"/>
  </w:font>
  <w:font w:name="楷体_GB2312">
    <w:panose1 w:val="02010609030101010101"/>
    <w:charset w:val="86"/>
    <w:family w:val="roman"/>
    <w:pitch w:val="default"/>
    <w:sig w:usb0="00000001" w:usb1="080E0000" w:usb2="00000000" w:usb3="00000000" w:csb0="0004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altName w:val="楷体_GB2312"/>
    <w:panose1 w:val="02010609060101010101"/>
    <w:charset w:val="86"/>
    <w:family w:val="roman"/>
    <w:pitch w:val="default"/>
    <w:sig w:usb0="00000000" w:usb1="00000000" w:usb2="00000016" w:usb3="00000000" w:csb0="00040001" w:csb1="00000000"/>
  </w:font>
  <w:font w:name="黑体">
    <w:panose1 w:val="02010600030101010101"/>
    <w:charset w:val="86"/>
    <w:family w:val="roman"/>
    <w:pitch w:val="default"/>
    <w:sig w:usb0="00000001" w:usb1="080E0000" w:usb2="00000000" w:usb3="00000000" w:csb0="00040000" w:csb1="00000000"/>
  </w:font>
  <w:font w:name="仿宋">
    <w:altName w:val="仿宋_GB2312"/>
    <w:panose1 w:val="02010609060101010101"/>
    <w:charset w:val="86"/>
    <w:family w:val="roman"/>
    <w:pitch w:val="default"/>
    <w:sig w:usb0="00000000" w:usb1="00000000"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155A1A91"/>
    <w:rsid w:val="2A5A2F84"/>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ScaleCrop>false</ScaleCrop>
  <LinksUpToDate>false</LinksUpToDate>
  <CharactersWithSpaces>51</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2020-05-02T08:45:44Z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