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color w:val="auto"/>
          <w:kern w:val="0"/>
          <w:sz w:val="32"/>
          <w:szCs w:val="32"/>
        </w:rPr>
      </w:pPr>
      <w:r>
        <w:rPr>
          <w:rFonts w:hint="eastAsia" w:ascii="宋体" w:hAnsi="宋体" w:eastAsia="宋体" w:cs="宋体"/>
          <w:b w:val="0"/>
          <w:bCs/>
          <w:color w:val="auto"/>
          <w:kern w:val="0"/>
          <w:sz w:val="44"/>
          <w:szCs w:val="44"/>
        </w:rPr>
        <w:t>襄阳市人民代表大会及其常务委员会立法条例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（2016年1月11日襄阳市第十六届人民代表大会第七次会议通过</w:t>
      </w:r>
      <w:r>
        <w:rPr>
          <w:rFonts w:hint="eastAsia" w:ascii="楷体_GB2312" w:hAnsi="楷体_GB2312" w:eastAsia="楷体_GB2312" w:cs="楷体_GB2312"/>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2016年3月30日湖北省第十二届人民代表大会常务委员会第二十一次会议批准）</w:t>
      </w:r>
      <w:r>
        <w:rPr>
          <w:rStyle w:val="13"/>
          <w:rFonts w:hint="eastAsia" w:ascii="楷体_GB2312" w:hAnsi="楷体_GB2312" w:eastAsia="楷体_GB2312" w:cs="楷体_GB2312"/>
          <w:b w:val="0"/>
          <w:bCs/>
          <w:color w:val="auto"/>
          <w:kern w:val="0"/>
          <w:sz w:val="32"/>
          <w:szCs w:val="32"/>
        </w:rPr>
        <w:footnoteReference w:id="0"/>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目</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录</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第一章</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总则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第二章</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立法准备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第一节</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立法规划和立法计划</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第二节</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法规草案的起草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第三章</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第一节</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市人民代表大会立法程序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第二节</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市人民代表大会常务委员会立法程序</w:t>
      </w:r>
      <w:r>
        <w:rPr>
          <w:rFonts w:hint="eastAsia" w:ascii="楷体_GB2312" w:hAnsi="楷体_GB2312" w:eastAsia="楷体_GB2312" w:cs="楷体_GB2312"/>
          <w:b w:val="0"/>
          <w:bCs/>
          <w:color w:val="auto"/>
          <w:kern w:val="0"/>
          <w:sz w:val="32"/>
          <w:szCs w:val="32"/>
          <w:lang w:eastAsia="zh-CN"/>
        </w:rPr>
        <w:t>　</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第四章</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法规解释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第五章</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其他规定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楷体_GB2312" w:hAnsi="楷体_GB2312" w:eastAsia="楷体_GB2312" w:cs="楷体_GB2312"/>
          <w:b w:val="0"/>
          <w:bCs/>
          <w:color w:val="auto"/>
          <w:kern w:val="0"/>
          <w:sz w:val="32"/>
          <w:szCs w:val="32"/>
        </w:rPr>
      </w:pPr>
      <w:r>
        <w:rPr>
          <w:rFonts w:hint="eastAsia" w:ascii="宋体" w:hAnsi="宋体" w:cs="宋体"/>
          <w:b w:val="0"/>
          <w:bCs/>
          <w:color w:val="auto"/>
          <w:kern w:val="0"/>
          <w:sz w:val="32"/>
          <w:szCs w:val="32"/>
          <w:lang w:val="en-US" w:eastAsia="zh-CN"/>
        </w:rPr>
        <w:t>　　</w:t>
      </w:r>
      <w:r>
        <w:rPr>
          <w:rFonts w:hint="eastAsia" w:ascii="楷体_GB2312" w:hAnsi="楷体_GB2312" w:eastAsia="楷体_GB2312" w:cs="楷体_GB2312"/>
          <w:b w:val="0"/>
          <w:bCs/>
          <w:color w:val="auto"/>
          <w:kern w:val="0"/>
          <w:sz w:val="32"/>
          <w:szCs w:val="32"/>
        </w:rPr>
        <w:t>第六章</w:t>
      </w:r>
      <w:r>
        <w:rPr>
          <w:rFonts w:hint="eastAsia" w:ascii="楷体_GB2312" w:hAnsi="楷体_GB2312" w:eastAsia="楷体_GB2312" w:cs="楷体_GB2312"/>
          <w:b w:val="0"/>
          <w:bCs/>
          <w:color w:val="auto"/>
          <w:kern w:val="0"/>
          <w:sz w:val="32"/>
          <w:szCs w:val="32"/>
          <w:lang w:eastAsia="zh-CN"/>
        </w:rPr>
        <w:t>　</w:t>
      </w:r>
      <w:r>
        <w:rPr>
          <w:rFonts w:hint="eastAsia" w:ascii="楷体_GB2312" w:hAnsi="楷体_GB2312" w:eastAsia="楷体_GB2312" w:cs="楷体_GB2312"/>
          <w:b w:val="0"/>
          <w:bCs/>
          <w:color w:val="auto"/>
          <w:kern w:val="0"/>
          <w:sz w:val="32"/>
          <w:szCs w:val="32"/>
        </w:rPr>
        <w:t>附则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第一章</w:t>
      </w:r>
      <w:r>
        <w:rPr>
          <w:rFonts w:hint="eastAsia" w:ascii="黑体" w:hAnsi="黑体" w:eastAsia="黑体" w:cs="黑体"/>
          <w:b w:val="0"/>
          <w:bCs/>
          <w:color w:val="auto"/>
          <w:kern w:val="0"/>
          <w:sz w:val="32"/>
          <w:szCs w:val="32"/>
          <w:lang w:val="en-US" w:eastAsia="zh-CN"/>
        </w:rPr>
        <w:t>　</w:t>
      </w:r>
      <w:r>
        <w:rPr>
          <w:rFonts w:hint="eastAsia" w:ascii="黑体" w:hAnsi="黑体" w:eastAsia="黑体" w:cs="黑体"/>
          <w:b w:val="0"/>
          <w:bCs/>
          <w:color w:val="auto"/>
          <w:kern w:val="0"/>
          <w:sz w:val="32"/>
          <w:szCs w:val="32"/>
        </w:rPr>
        <w:t>总则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lang w:val="en-US" w:eastAsia="zh-CN"/>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第一条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为了规范市人民代表大会及其常务委员会立法活动，建立和完善立法程序，提高立法质量，发挥立法的引领和推动作用，全面推进法治襄阳建设，根据《中华人民共和国地方各级人民代表大会和地方各级人民政府组织法》、《中华人民共和国立法法》和《湖北省人民代表大会及其常务委员会立法条例》的有关规定，结合本市实际，制定本条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及其常务委员会根据本市的具体情况和实际需要，在不同宪法、法律、行政法规和我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制定地方性法规，应当遵循立法法规定的基本原则，坚持不抵触、有特色、可操作，突出务实管用。对上位法已经明确规定的内容，一般不作重复性规定。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市人民代表大会及其常务委员会应当恪守以民为本、立法为民理念，推进科学立法、民主立法，加强立法工作组织协调，发挥在立法工作中的主导作用,注重提高立法质量。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第二章</w:t>
      </w:r>
      <w:r>
        <w:rPr>
          <w:rFonts w:hint="eastAsia" w:ascii="黑体" w:hAnsi="黑体" w:eastAsia="黑体" w:cs="黑体"/>
          <w:b w:val="0"/>
          <w:bCs/>
          <w:color w:val="auto"/>
          <w:kern w:val="0"/>
          <w:sz w:val="32"/>
          <w:szCs w:val="32"/>
          <w:lang w:eastAsia="zh-CN"/>
        </w:rPr>
        <w:t>　</w:t>
      </w:r>
      <w:r>
        <w:rPr>
          <w:rFonts w:hint="eastAsia" w:ascii="黑体" w:hAnsi="黑体" w:eastAsia="黑体" w:cs="黑体"/>
          <w:b w:val="0"/>
          <w:bCs/>
          <w:color w:val="auto"/>
          <w:kern w:val="0"/>
          <w:sz w:val="32"/>
          <w:szCs w:val="32"/>
        </w:rPr>
        <w:t>立法准备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color w:val="auto"/>
          <w:kern w:val="0"/>
          <w:sz w:val="32"/>
          <w:szCs w:val="32"/>
        </w:rPr>
      </w:pPr>
      <w:r>
        <w:rPr>
          <w:rFonts w:hint="eastAsia" w:ascii="宋体" w:hAnsi="宋体" w:eastAsia="宋体" w:cs="宋体"/>
          <w:b w:val="0"/>
          <w:bCs/>
          <w:color w:val="auto"/>
          <w:kern w:val="0"/>
          <w:sz w:val="32"/>
          <w:szCs w:val="32"/>
        </w:rPr>
        <w:t>第一节</w:t>
      </w:r>
      <w:r>
        <w:rPr>
          <w:rFonts w:hint="eastAsia" w:ascii="黑体" w:hAnsi="黑体" w:eastAsia="黑体" w:cs="黑体"/>
          <w:b w:val="0"/>
          <w:bCs/>
          <w:color w:val="auto"/>
          <w:kern w:val="0"/>
          <w:sz w:val="32"/>
          <w:szCs w:val="32"/>
        </w:rPr>
        <w:t>　</w:t>
      </w:r>
      <w:r>
        <w:rPr>
          <w:rFonts w:hint="eastAsia" w:ascii="宋体" w:hAnsi="宋体" w:eastAsia="宋体" w:cs="宋体"/>
          <w:b w:val="0"/>
          <w:bCs/>
          <w:color w:val="auto"/>
          <w:kern w:val="0"/>
          <w:sz w:val="32"/>
          <w:szCs w:val="32"/>
        </w:rPr>
        <w:t>立法规划和立法计划</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第六条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常务委员会应当编制年度立法计划，根据需要编制本届任期内的立法规划。</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第七条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第八条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法制工作委员会根据市人民代表大会专门委员会（以下简称专门委员会）、常务委员会工作机构、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第九条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专门委员会、常务委员会工作机构、市人民政府及其有关部门、有关人民团体、社会组织应当认真组织实施立法规划和立法计划。法规案未能按时提请审议的，立法计划确定的提案人应当向主任会议报告并说明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立法规划和立法计划在执行过程中需要作适当调整的，由常务委员会法制工作委员会根据专门委员会、常务委员会工作机构和有关方面的建议，提出方案，报主任会议审定。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color w:val="auto"/>
          <w:kern w:val="0"/>
          <w:sz w:val="32"/>
          <w:szCs w:val="32"/>
        </w:rPr>
      </w:pPr>
      <w:r>
        <w:rPr>
          <w:rFonts w:hint="eastAsia" w:ascii="宋体" w:hAnsi="宋体" w:eastAsia="宋体" w:cs="宋体"/>
          <w:b w:val="0"/>
          <w:bCs/>
          <w:color w:val="auto"/>
          <w:kern w:val="0"/>
          <w:sz w:val="32"/>
          <w:szCs w:val="32"/>
        </w:rPr>
        <w:t>第二节</w:t>
      </w:r>
      <w:r>
        <w:rPr>
          <w:rFonts w:hint="eastAsia" w:ascii="黑体" w:hAnsi="黑体" w:eastAsia="黑体" w:cs="黑体"/>
          <w:b w:val="0"/>
          <w:bCs/>
          <w:color w:val="auto"/>
          <w:kern w:val="0"/>
          <w:sz w:val="32"/>
          <w:szCs w:val="32"/>
        </w:rPr>
        <w:t>　</w:t>
      </w:r>
      <w:r>
        <w:rPr>
          <w:rFonts w:hint="eastAsia" w:ascii="宋体" w:hAnsi="宋体" w:eastAsia="宋体" w:cs="宋体"/>
          <w:b w:val="0"/>
          <w:bCs/>
          <w:color w:val="auto"/>
          <w:kern w:val="0"/>
          <w:sz w:val="32"/>
          <w:szCs w:val="32"/>
        </w:rPr>
        <w:t>法规草案的起草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bdr w:val="single" w:color="auto" w:sz="4" w:space="0"/>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第十一条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起草法规草案，应当深入调查研究，广泛征求相关方面意见。法规案提出时，提案人应当向常务委员会报告征求意见情况。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法规草案的起草单位应当向有关专门委员会和常务委员会工作机构报告起草工作进展情况。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numPr>
          <w:ilvl w:val="0"/>
          <w:numId w:val="0"/>
        </w:numPr>
        <w:kinsoku/>
        <w:wordWrap/>
        <w:overflowPunct/>
        <w:topLinePunct w:val="0"/>
        <w:autoSpaceDE/>
        <w:autoSpaceDN/>
        <w:bidi w:val="0"/>
        <w:snapToGrid/>
        <w:spacing w:line="240" w:lineRule="auto"/>
        <w:ind w:leftChars="0" w:right="0" w:rightChars="0"/>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lang w:eastAsia="zh-CN"/>
        </w:rPr>
        <w:t>第三章　</w:t>
      </w:r>
      <w:r>
        <w:rPr>
          <w:rFonts w:hint="eastAsia" w:ascii="黑体" w:hAnsi="黑体" w:eastAsia="黑体" w:cs="黑体"/>
          <w:b w:val="0"/>
          <w:bCs/>
          <w:color w:val="auto"/>
          <w:kern w:val="0"/>
          <w:sz w:val="32"/>
          <w:szCs w:val="32"/>
        </w:rPr>
        <w:t>立法程序</w:t>
      </w:r>
    </w:p>
    <w:p>
      <w:pPr>
        <w:keepNext w:val="0"/>
        <w:keepLines w:val="0"/>
        <w:pageBreakBefore w:val="0"/>
        <w:widowControl w:val="0"/>
        <w:numPr>
          <w:ilvl w:val="0"/>
          <w:numId w:val="0"/>
        </w:numPr>
        <w:kinsoku/>
        <w:wordWrap/>
        <w:overflowPunct/>
        <w:topLinePunct w:val="0"/>
        <w:autoSpaceDE/>
        <w:autoSpaceDN/>
        <w:bidi w:val="0"/>
        <w:snapToGrid/>
        <w:spacing w:line="240" w:lineRule="auto"/>
        <w:ind w:leftChars="0" w:right="0" w:rightChars="0"/>
        <w:jc w:val="both"/>
        <w:textAlignment w:val="auto"/>
        <w:rPr>
          <w:rFonts w:hint="eastAsia" w:ascii="宋体" w:hAnsi="宋体" w:eastAsia="宋体" w:cs="宋体"/>
          <w:b w:val="0"/>
          <w:bCs/>
          <w:color w:val="auto"/>
          <w:kern w:val="0"/>
          <w:sz w:val="32"/>
          <w:szCs w:val="32"/>
        </w:rPr>
      </w:pPr>
    </w:p>
    <w:p>
      <w:pPr>
        <w:keepNext w:val="0"/>
        <w:keepLines w:val="0"/>
        <w:pageBreakBefore w:val="0"/>
        <w:widowControl w:val="0"/>
        <w:numPr>
          <w:ilvl w:val="0"/>
          <w:numId w:val="0"/>
        </w:numPr>
        <w:kinsoku/>
        <w:wordWrap/>
        <w:overflowPunct/>
        <w:topLinePunct w:val="0"/>
        <w:autoSpaceDE/>
        <w:autoSpaceDN/>
        <w:bidi w:val="0"/>
        <w:snapToGrid/>
        <w:spacing w:line="240" w:lineRule="auto"/>
        <w:ind w:leftChars="0" w:right="0" w:rightChars="0"/>
        <w:jc w:val="center"/>
        <w:textAlignment w:val="auto"/>
        <w:rPr>
          <w:rFonts w:hint="eastAsia" w:ascii="宋体" w:hAnsi="宋体" w:eastAsia="宋体" w:cs="宋体"/>
          <w:b w:val="0"/>
          <w:bCs/>
          <w:color w:val="auto"/>
          <w:kern w:val="0"/>
          <w:sz w:val="32"/>
          <w:szCs w:val="32"/>
        </w:rPr>
      </w:pPr>
      <w:r>
        <w:rPr>
          <w:rFonts w:hint="eastAsia" w:ascii="宋体" w:hAnsi="宋体" w:eastAsia="宋体" w:cs="宋体"/>
          <w:b w:val="0"/>
          <w:bCs/>
          <w:color w:val="auto"/>
          <w:kern w:val="0"/>
          <w:sz w:val="32"/>
          <w:szCs w:val="32"/>
        </w:rPr>
        <w:t>第一节</w:t>
      </w:r>
      <w:r>
        <w:rPr>
          <w:rFonts w:hint="eastAsia" w:ascii="黑体" w:hAnsi="黑体" w:eastAsia="黑体" w:cs="黑体"/>
          <w:b w:val="0"/>
          <w:bCs/>
          <w:color w:val="auto"/>
          <w:kern w:val="0"/>
          <w:sz w:val="32"/>
          <w:szCs w:val="32"/>
        </w:rPr>
        <w:t>　</w:t>
      </w:r>
      <w:r>
        <w:rPr>
          <w:rFonts w:hint="eastAsia" w:ascii="宋体" w:hAnsi="宋体" w:eastAsia="宋体" w:cs="宋体"/>
          <w:b w:val="0"/>
          <w:bCs/>
          <w:color w:val="auto"/>
          <w:kern w:val="0"/>
          <w:sz w:val="32"/>
          <w:szCs w:val="32"/>
        </w:rPr>
        <w:t>市人民代表大会立法程序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第十二条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第十三条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第十四条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第十五条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第十六条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第十七条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第十八条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第十九条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第二十一条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第二十二条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color w:val="auto"/>
          <w:kern w:val="0"/>
          <w:sz w:val="32"/>
          <w:szCs w:val="32"/>
        </w:rPr>
      </w:pPr>
      <w:r>
        <w:rPr>
          <w:rFonts w:hint="eastAsia" w:ascii="宋体" w:hAnsi="宋体" w:eastAsia="宋体" w:cs="宋体"/>
          <w:b w:val="0"/>
          <w:bCs/>
          <w:color w:val="auto"/>
          <w:kern w:val="0"/>
          <w:sz w:val="32"/>
          <w:szCs w:val="32"/>
        </w:rPr>
        <w:t>第二节</w:t>
      </w:r>
      <w:r>
        <w:rPr>
          <w:rFonts w:hint="eastAsia" w:ascii="黑体" w:hAnsi="黑体" w:eastAsia="黑体" w:cs="黑体"/>
          <w:b w:val="0"/>
          <w:bCs/>
          <w:color w:val="auto"/>
          <w:kern w:val="0"/>
          <w:sz w:val="32"/>
          <w:szCs w:val="32"/>
        </w:rPr>
        <w:t>　</w:t>
      </w:r>
      <w:r>
        <w:rPr>
          <w:rFonts w:hint="eastAsia" w:ascii="宋体" w:hAnsi="宋体" w:eastAsia="宋体" w:cs="宋体"/>
          <w:b w:val="0"/>
          <w:bCs/>
          <w:color w:val="auto"/>
          <w:kern w:val="0"/>
          <w:sz w:val="32"/>
          <w:szCs w:val="32"/>
        </w:rPr>
        <w:t>市人民代表大会常务委员会立法程序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第二十三条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市人民政府、专门委员会可以向常务委员会提出法规案，由主任会议决定列入常务委员会会议议程，或者先交有关专门委员会或者常务委员会工作机构审议或者研究，提出报告，再决定列入常务委员会会议议程。如果主任会议认为法规案有重大问题需要进一步研究，可以建议提案人修改完善后再向常务委员会提出。</w:t>
      </w:r>
      <w:r>
        <w:rPr>
          <w:rFonts w:hint="eastAsia" w:ascii="仿宋_GB2312" w:hAnsi="仿宋_GB2312" w:eastAsia="仿宋_GB2312" w:cs="仿宋_GB2312"/>
          <w:b w:val="0"/>
          <w:bCs/>
          <w:color w:val="auto"/>
          <w:kern w:val="0"/>
          <w:sz w:val="32"/>
          <w:szCs w:val="32"/>
          <w:lang w:eastAsia="zh-CN"/>
        </w:rPr>
        <w:t>　　　　　　　　　　　　　　　　　　　</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第二十四条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组成人员五人以上联名，可以向常务委员会提出法规案，由主任会议决定是否列入常务委员会会议议程，或者先交有关专门委员会或者常务委员会工作机构审议或者研究，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第二十五条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拟提请常务委员会会议审议的法规草案，应当在常务委员会会议举行的十五日前报送常务委员会。未能提前十五日报送的，一般不列入本次常务委员会会议议程。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第二十六条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第二十七条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第二十八条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第二十九条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列入常务委员会会议议程的法规案，由有关专门委员会或者常务委员会工作机构进行审议或者研究，提出审议或者研究意见，向常务委员会会议报告。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有关专门委员会或者常务委员会工作机构审议或者研究法规案时，应当召开全体会议；可以邀请其他专门委员会或者常务委员会工作机构的成员列席会议，发表意见；根据需要，可以要求有关机关、团体或者组织派负责人说明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由法制委员会根据常务委员会组成人员、有关专门委员会或者常务委员会工作机构的审议或者研究意见以及各方面提出的意见，对法规案进行统一审议，提出审议结果的报告和法规草案修改稿，对重要的不同意见应当在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法制委员会审议法规案时，应当邀请有关专门委员会或者常务委员会工作机构的成员列席会议，发表意见。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第三十一条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专门委员会、常务委员会工作机构之间对法规草案的重要问题意见不一致时，应当向主任会议报告。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第三十二条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第三十三条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列入常务委员会会议议程的法规案，常务委员会法制工作委员会应当在常务委员会会议后将法规草案及其说明等向社会公布，征求意见。向社会公布征求意见的时间一般不少于三十日。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snapToGrid w:val="0"/>
          <w:color w:val="auto"/>
          <w:kern w:val="0"/>
          <w:sz w:val="32"/>
          <w:szCs w:val="32"/>
        </w:rPr>
        <w:t>常务委员会法制工作委员会</w:t>
      </w:r>
      <w:r>
        <w:rPr>
          <w:rFonts w:hint="eastAsia" w:ascii="仿宋_GB2312" w:hAnsi="仿宋_GB2312" w:eastAsia="仿宋_GB2312" w:cs="仿宋_GB2312"/>
          <w:b w:val="0"/>
          <w:bCs/>
          <w:color w:val="auto"/>
          <w:kern w:val="0"/>
          <w:sz w:val="32"/>
          <w:szCs w:val="32"/>
        </w:rPr>
        <w:t>应当将法规草案发送县（市、区）人民代表大会常务委员会、相关领域的市人民代表大会代表以及有关部门、团体、组织和专家征求意见。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常务委员会法制工作委员会应当收集整理分组审议的意见和各方面提出的意见以及其他有关资料，分送法制委员会和有关专门委员会或者常务委员会工作机构，并根据需要，印发常务委员会会议。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第三十四条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第三十五条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第三十六条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法规案经常务委员会会议第二次审议后，仍有重大问题需要进一步研究的，经主任会议同意，可以暂不付表决，交法制委员会和有关专门委员会或者常务委员会工作机构进一步审议或者研究，并根据审议或者研究情况，决定是否提请常务委员会会议第三次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第三十七条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第三十八条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第三十九条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第四十一条</w:t>
      </w:r>
      <w:r>
        <w:rPr>
          <w:rFonts w:hint="eastAsia" w:ascii="仿宋_GB2312" w:hAnsi="仿宋_GB2312" w:eastAsia="仿宋_GB2312" w:cs="仿宋_GB2312"/>
          <w:b w:val="0"/>
          <w:bCs/>
          <w:color w:val="auto"/>
          <w:kern w:val="0"/>
          <w:sz w:val="32"/>
          <w:szCs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或者常务委员会工作机构进一步审议或者研究。</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both"/>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第四十二条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第四章　法规解释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第四十三条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第四十四条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市人民政府、市中级人民法院、市人民检察院、专门委员会以及县（市、区）人民代表大会常务委员会可以向常务委员会提出法规解释要求。</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第四十五条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第四十六条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宋体" w:hAnsi="宋体" w:eastAsia="宋体" w:cs="宋体"/>
          <w:b w:val="0"/>
          <w:bCs/>
          <w:color w:val="auto"/>
          <w:kern w:val="0"/>
          <w:sz w:val="32"/>
          <w:szCs w:val="32"/>
        </w:rPr>
      </w:pPr>
      <w:r>
        <w:rPr>
          <w:rFonts w:hint="eastAsia" w:ascii="黑体" w:hAnsi="黑体" w:eastAsia="黑体" w:cs="黑体"/>
          <w:b w:val="0"/>
          <w:bCs/>
          <w:color w:val="auto"/>
          <w:kern w:val="0"/>
          <w:sz w:val="32"/>
          <w:szCs w:val="32"/>
        </w:rPr>
        <w:t>第五章　其他规定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第四十七条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第四十八条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第四十九条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地方性法规经批准后，常务委员会工作机构应当及时将常务委员会公告和法规文本在常务委员会公报、襄阳人大网及市级报纸上刊登。</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第五十一条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第五十二条</w:t>
      </w: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仿宋_GB2312" w:hAnsi="仿宋_GB2312" w:eastAsia="仿宋_GB2312" w:cs="仿宋_GB2312"/>
          <w:b w:val="0"/>
          <w:bCs/>
          <w:color w:val="auto"/>
          <w:kern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第五十三条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第五十四条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制定和修改后的法规实施满一年的，法规实施机关应当向常务委员会报告法规实施情况。</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第五十五条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市人民代表大会及其常务委员会制定的地方性法规应当自公布之日起十五日内由常务委员会报省人民代表大会常务委员会，由省人民代表大会常务委员会报全国人民代表大会常务委员会和国务院备案。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第五十六条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第六章　附则</w:t>
      </w:r>
    </w:p>
    <w:p>
      <w:pPr>
        <w:keepNext w:val="0"/>
        <w:keepLines w:val="0"/>
        <w:pageBreakBefore w:val="0"/>
        <w:widowControl w:val="0"/>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p>
    <w:p>
      <w:pPr>
        <w:keepNext w:val="0"/>
        <w:keepLines w:val="0"/>
        <w:pageBreakBefore w:val="0"/>
        <w:widowControl w:val="0"/>
        <w:tabs>
          <w:tab w:val="left" w:pos="2295"/>
        </w:tabs>
        <w:kinsoku/>
        <w:wordWrap/>
        <w:overflowPunct/>
        <w:topLinePunct w:val="0"/>
        <w:autoSpaceDE/>
        <w:autoSpaceDN/>
        <w:bidi w:val="0"/>
        <w:snapToGrid/>
        <w:spacing w:line="240" w:lineRule="auto"/>
        <w:ind w:left="0" w:leftChars="0" w:right="0" w:rightChars="0" w:firstLine="0" w:firstLineChars="0"/>
        <w:textAlignment w:val="auto"/>
        <w:rPr>
          <w:rFonts w:hint="eastAsia" w:ascii="宋体" w:hAnsi="宋体" w:eastAsia="宋体" w:cs="宋体"/>
          <w:b w:val="0"/>
          <w:bCs/>
          <w:color w:val="auto"/>
          <w:kern w:val="0"/>
          <w:sz w:val="32"/>
          <w:szCs w:val="32"/>
        </w:rPr>
      </w:pPr>
      <w:r>
        <w:rPr>
          <w:rFonts w:hint="eastAsia" w:ascii="仿宋_GB2312" w:hAnsi="仿宋_GB2312" w:eastAsia="仿宋_GB2312" w:cs="仿宋_GB2312"/>
          <w:b w:val="0"/>
          <w:bCs/>
          <w:color w:val="auto"/>
          <w:kern w:val="0"/>
          <w:sz w:val="32"/>
          <w:szCs w:val="32"/>
          <w:lang w:val="en-US" w:eastAsia="zh-CN"/>
        </w:rPr>
        <w:t>　　</w:t>
      </w:r>
      <w:r>
        <w:rPr>
          <w:rFonts w:hint="eastAsia" w:ascii="黑体" w:hAnsi="黑体" w:eastAsia="黑体" w:cs="黑体"/>
          <w:b w:val="0"/>
          <w:bCs/>
          <w:color w:val="auto"/>
          <w:kern w:val="0"/>
          <w:sz w:val="32"/>
          <w:szCs w:val="32"/>
        </w:rPr>
        <w:t>第五十七条</w:t>
      </w:r>
      <w:r>
        <w:rPr>
          <w:rFonts w:hint="eastAsia" w:ascii="仿宋_GB2312" w:hAnsi="仿宋_GB2312" w:eastAsia="仿宋_GB2312" w:cs="仿宋_GB2312"/>
          <w:b w:val="0"/>
          <w:bCs/>
          <w:color w:val="auto"/>
          <w:kern w:val="0"/>
          <w:sz w:val="32"/>
          <w:szCs w:val="32"/>
          <w:lang w:eastAsia="zh-CN"/>
        </w:rPr>
        <w:t>　</w:t>
      </w:r>
      <w:r>
        <w:rPr>
          <w:rFonts w:hint="eastAsia" w:ascii="仿宋_GB2312" w:hAnsi="仿宋_GB2312" w:eastAsia="仿宋_GB2312" w:cs="仿宋_GB2312"/>
          <w:b w:val="0"/>
          <w:bCs/>
          <w:color w:val="auto"/>
          <w:kern w:val="0"/>
          <w:sz w:val="32"/>
          <w:szCs w:val="32"/>
        </w:rPr>
        <w:t>本条例自公布之日起施行。</w:t>
      </w:r>
      <w:r>
        <w:rPr>
          <w:rStyle w:val="13"/>
          <w:rFonts w:hint="eastAsia" w:ascii="仿宋_GB2312" w:hAnsi="仿宋_GB2312" w:eastAsia="仿宋_GB2312" w:cs="仿宋_GB2312"/>
          <w:b w:val="0"/>
          <w:bCs/>
          <w:color w:val="auto"/>
          <w:kern w:val="0"/>
          <w:sz w:val="32"/>
          <w:szCs w:val="32"/>
        </w:rPr>
        <w:footnoteReference w:id="1"/>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pPr>
      <w:r>
        <w:rPr>
          <w:rStyle w:val="13"/>
        </w:rPr>
        <w:footnoteRef/>
      </w:r>
      <w:r>
        <w:t xml:space="preserve"> </w:t>
      </w:r>
      <w:r>
        <w:rPr>
          <w:rFonts w:hint="eastAsia"/>
          <w:lang w:val="en-US" w:eastAsia="zh-CN"/>
        </w:rPr>
        <w:t>PDF文本增加题注为：“2016年1月11日襄阳市第十六届人民代表大会第七次会议通过  2016年3月30日湖北省第十二届人民代表大会常务委员会第二十一次会议批准”。</w:t>
      </w:r>
    </w:p>
  </w:footnote>
  <w:footnote w:id="1">
    <w:p>
      <w:pPr>
        <w:pStyle w:val="6"/>
        <w:snapToGrid w:val="0"/>
      </w:pPr>
      <w:r>
        <w:rPr>
          <w:rStyle w:val="13"/>
        </w:rPr>
        <w:footnoteRef/>
      </w:r>
      <w:r>
        <w:t xml:space="preserve"> </w:t>
      </w:r>
      <w:r>
        <w:rPr>
          <w:rFonts w:hint="eastAsia"/>
          <w:lang w:val="en-US" w:eastAsia="zh-CN"/>
        </w:rPr>
        <w:t>PDF文本第五十七条有误，更正为：“</w:t>
      </w:r>
      <w:r>
        <w:rPr>
          <w:rFonts w:hint="eastAsia" w:asciiTheme="minorEastAsia" w:hAnsiTheme="minorEastAsia" w:eastAsiaTheme="minorEastAsia" w:cstheme="minorEastAsia"/>
          <w:b w:val="0"/>
          <w:bCs/>
          <w:color w:val="auto"/>
          <w:kern w:val="0"/>
          <w:sz w:val="18"/>
          <w:szCs w:val="18"/>
        </w:rPr>
        <w:t>本条例自公布之日起施行</w:t>
      </w:r>
      <w:r>
        <w:rPr>
          <w:rFonts w:hint="eastAsia" w:asciiTheme="minorEastAsia" w:hAnsiTheme="minorEastAsia" w:eastAsiaTheme="minorEastAsia" w:cstheme="minorEastAsia"/>
          <w:b w:val="0"/>
          <w:bCs/>
          <w:color w:val="auto"/>
          <w:kern w:val="0"/>
          <w:sz w:val="18"/>
          <w:szCs w:val="18"/>
          <w:lang w:eastAsia="zh-CN"/>
        </w:rPr>
        <w:t>”。</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6C54C5"/>
    <w:rsid w:val="02BF407D"/>
    <w:rsid w:val="04F15CE1"/>
    <w:rsid w:val="067F6427"/>
    <w:rsid w:val="079B5588"/>
    <w:rsid w:val="09333B97"/>
    <w:rsid w:val="0AC34B05"/>
    <w:rsid w:val="0AF5779A"/>
    <w:rsid w:val="177911C8"/>
    <w:rsid w:val="197D0684"/>
    <w:rsid w:val="19AA6DDF"/>
    <w:rsid w:val="1D6B3A02"/>
    <w:rsid w:val="209247B4"/>
    <w:rsid w:val="23E90D9E"/>
    <w:rsid w:val="258522B6"/>
    <w:rsid w:val="26102F36"/>
    <w:rsid w:val="2AD839B8"/>
    <w:rsid w:val="2C8D2C7E"/>
    <w:rsid w:val="2DBC1BFA"/>
    <w:rsid w:val="342A57F5"/>
    <w:rsid w:val="34BB1AC5"/>
    <w:rsid w:val="38A627D9"/>
    <w:rsid w:val="392C0D90"/>
    <w:rsid w:val="3A141870"/>
    <w:rsid w:val="3ABA4A57"/>
    <w:rsid w:val="3C5557CC"/>
    <w:rsid w:val="3F6B523D"/>
    <w:rsid w:val="3F934F12"/>
    <w:rsid w:val="49F90C0A"/>
    <w:rsid w:val="4A8073EF"/>
    <w:rsid w:val="4BEA6E51"/>
    <w:rsid w:val="4CBF0657"/>
    <w:rsid w:val="508E4F82"/>
    <w:rsid w:val="52BC2082"/>
    <w:rsid w:val="52F10667"/>
    <w:rsid w:val="535C14E7"/>
    <w:rsid w:val="54506828"/>
    <w:rsid w:val="54DC44D7"/>
    <w:rsid w:val="56D37FB8"/>
    <w:rsid w:val="5D862246"/>
    <w:rsid w:val="61156553"/>
    <w:rsid w:val="61BB013E"/>
    <w:rsid w:val="64A0682F"/>
    <w:rsid w:val="6E753488"/>
    <w:rsid w:val="6F52679E"/>
    <w:rsid w:val="6FCF71E5"/>
    <w:rsid w:val="705B41F2"/>
    <w:rsid w:val="742144A6"/>
    <w:rsid w:val="75750071"/>
    <w:rsid w:val="762A58A2"/>
    <w:rsid w:val="767F7A52"/>
    <w:rsid w:val="7DEE3BDF"/>
    <w:rsid w:val="7F1C4AA1"/>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uiPriority w:val="0"/>
    <w:pPr>
      <w:snapToGrid w:val="0"/>
      <w:jc w:val="left"/>
    </w:pPr>
    <w:rPr>
      <w:sz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paragraph" w:styleId="8">
    <w:name w:val="Title"/>
    <w:basedOn w:val="1"/>
    <w:next w:val="1"/>
    <w:uiPriority w:val="0"/>
    <w:pPr>
      <w:spacing w:before="240" w:after="60"/>
      <w:jc w:val="center"/>
      <w:outlineLvl w:val="0"/>
    </w:pPr>
    <w:rPr>
      <w:rFonts w:ascii="Cambria" w:hAnsi="Cambria"/>
      <w:b/>
      <w:bCs/>
      <w:sz w:val="32"/>
      <w:szCs w:val="32"/>
    </w:rPr>
  </w:style>
  <w:style w:type="character" w:styleId="10">
    <w:name w:val="Strong"/>
    <w:basedOn w:val="9"/>
    <w:uiPriority w:val="0"/>
    <w:rPr>
      <w:b/>
      <w:bCs/>
    </w:rPr>
  </w:style>
  <w:style w:type="character" w:styleId="11">
    <w:name w:val="page number"/>
    <w:basedOn w:val="9"/>
    <w:uiPriority w:val="0"/>
  </w:style>
  <w:style w:type="character" w:styleId="12">
    <w:name w:val="Hyperlink"/>
    <w:basedOn w:val="9"/>
    <w:uiPriority w:val="0"/>
    <w:rPr>
      <w:color w:val="0000FF"/>
      <w:u w:val="single"/>
    </w:rPr>
  </w:style>
  <w:style w:type="character" w:styleId="13">
    <w:name w:val="footnote reference"/>
    <w:basedOn w:val="9"/>
    <w:uiPriority w:val="0"/>
    <w:rPr>
      <w:vertAlign w:val="superscript"/>
    </w:rPr>
  </w:style>
  <w:style w:type="paragraph" w:customStyle="1" w:styleId="15">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admin</cp:lastModifiedBy>
  <dcterms:modified xsi:type="dcterms:W3CDTF">2019-07-12T03:11:21Z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