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城乡规划条例"/>
      <w:bookmarkEnd w:id="0"/>
      <w:r>
        <w:rPr>
          <w:rFonts w:ascii="方正小标宋简体" w:eastAsia="方正小标宋简体" w:hAnsi="方正小标宋简体" w:cs="方正小标宋简体" w:hint="eastAsia"/>
          <w:color w:val="333333"/>
          <w:sz w:val="44"/>
          <w:szCs w:val="44"/>
          <w:shd w:val="clear" w:color="auto" w:fill="FFFFFF"/>
        </w:rPr>
        <w:t>贵州省城乡规划条例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（2009年9月25日贵州省第十一届人民代表大会常务委员会第十次会议通过　根据2017年11月30日贵州省第十二届人民代表大会常务委员会第三十二次会议通过的《贵州省人民代表大会常务委员会关于修改〈贵州省建筑市场管理条例〉等二十五件法规个别条款的决定》第一次修正　根据2023年11月29日贵州省第十四届人民代表大会常务委员会第六次会议通过的《贵州省人民代表大会常务委员会关于修改〈贵州省乡镇人民代表大会工作条例〉等地方性法规部分条款的决定》第二次修正）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为加强城乡规划管理，协调城乡空间布局，改善人居环境，促进城乡经济社会全面协调可持续发展，根据《中华人民共和国城乡规划法》和有关法律、法规的规定，结合本省实际，制定本条例。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本省行政区域内制定和实施城乡规划，在规划区内进行建设活动，应当遵守本条例。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城乡规划包括城镇体系规划、城市规划、镇规划、乡规划和村寨规划。城镇体系规划分为省域城镇体系规划、州域城镇体系规划和省域重点地区城镇体系规划。城市规划、镇规划分为总体规划和详细规划。城市总体规划分为市域城镇体系规划和中心城区规划。县人民政府所在地镇的总体规划分为县域镇村体系规划和县城总体规划；其他镇的总体规划分为镇域镇村体系规划和镇区总体规划。详细规划分为控制性详细规划和修建性详细规划。乡规划分为乡域规划和乡政府所在地规划。</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规划区内实行统一规划管理。在规划区内进行建设活动，应当符合城乡规划的要求，遵守土地管理、自然资源和环境保护等法律、法规的规定。</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城市和镇应当依法制定城市规划和镇规划。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县级以上人民政府根据本地农村经济社会发展水平，按照持续发展、因地制宜、循序渐进、统筹兼顾、切实可行的原则，制定实施乡规划、村寨规划。</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风景名胜区、自然保护区、森林公园、地质公园、水利景区等特殊区域的规划应当与城乡规划衔接。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城乡基础设施、公共服务设施和公共安全设施等涉及空间和自然资源利用内容的专项规划，应当纳入城乡规划，并与城乡规划同步实施。</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规划区的具体范围由有关人民政府在组织编制的城市总体规划、镇总体规划、乡规划和村寨规划中划定。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城市规划区内的镇、乡、村寨以及镇、乡规划区内的村寨不再另行划定规划区。</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省人民政府城乡规划主管部门负责全省城乡规划管理工作。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县级以上人民政府城乡规划主管部门负责本行政区域内的城乡规划管理工作。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县级以上人民政府其他有关部门应当按照各自职责，协助做好城乡规划管理的有关工作。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乡、镇人民政府依法做好城乡规划管理工作。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县级以上人民政府应当完善城乡规划管理体制，建立城乡规划民主、科学决策机制，提高城乡规划管理效能，确保城乡规划的严肃性。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县级以上人民政府应当加强城乡空间地理基础信息资源建设，实现信息共享，满足制定和实施城乡规划的需要。</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鼓励城乡规划科学技术研究，推广先进技术，增强城乡规划的科学性。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县级以上人民政府对在城乡规划工作中做出突出贡献的单位和个人，予以表彰和奖励。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城乡规划的制定"/>
      <w:bookmarkEnd w:id="12"/>
      <w:r>
        <w:rPr>
          <w:rFonts w:ascii="Times New Roman" w:eastAsia="黑体" w:hAnsi="Times New Roman" w:cs="黑体" w:hint="eastAsia"/>
          <w:szCs w:val="32"/>
        </w:rPr>
        <w:t>第二章　城乡规划的制定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各级人民政府应当依法组织编制城镇体系规划、城市总体规划、镇总体规划、乡规划和村寨规划。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城市人民政府城乡规划主管部门组织编制城市控制性详细规划和重要地块的修建性详细规划。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县人民政府城乡规划主管部门组织编制县人民政府所在地镇控制性详细规划和重要地块的修建性详细规划。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其他镇的控制性详细规划和重要地块的修建性详细规划由镇人民政府组织编制。</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城乡规划组织编制机关应当委托具有相应资质等级的单位承担城乡规划编制工作。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城乡规划的编制，应当根据国民经济和社会发展规划，并与土地利用总体规划相衔接。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编制城乡规划应当遵守国家法律、法规和有关标准。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民族地区的城乡规划应当保持和体现民族传统风貌、地方特色。</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城市总体规划、镇总体规划的规划期限一般为二十年，城市总体规划还应当对城市更长远的发展做出预测性安排。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乡规划的规划期限一般为二十年。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村寨规划的规划期限一般为十年。</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规划区范围、规划区内建设用地规模、基础设施和公共服务设施用地、水源地和水系、基本农田和绿化用地、环境保护、自然与历史文化遗产保护、防灾减灾以及人民防空建设、地下管网总体布局等内容，应当作为城市总体规划、镇总体规划的强制性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下列区域除基础设施建设外，应当预留保护性控制距离：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（一）重要机关、涉密单位；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（二）城市公园、河道、山头绿地；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（三）交通枢纽、高速公路、铁路及进入国家级风景名胜区的公路。</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城乡规划应当依法报请审批。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州域及省域重点地区城镇体系规划报省人民政府审批。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州、市人民政府所辖的县人民政府所在地镇的总体规划，由州、市人民政府审批，报省人民政府备案。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省人民政府确定的镇的总体规划报省人民政府审批。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修建性详细规划，由市、县城乡规划主管部门审批，重要地块的修建性详细规划，由市、县人民政府审批。</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省人民政府审批的州域城镇体系规划、城市总体规划以及省、州、市人民政府审批的县人民政府所在地镇的总体规划的审批时限应当不超过六个月。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县（市、特区）人民政府审批的镇总体规划、乡规划和村寨规划的审批时限应当不超过三个月。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其他城乡规划的审批时限应当不超过三个月。</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城镇体系规划、城市总体规划、县人民政府所在地镇的总体规划，报上一级人民政府审批前，应当先经本级人民代表大会常务委员会审议，常务委员会组成人员的审议意见交由本级人民政府研究处理。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其他镇的总体规划、乡规划，在报上一级人民政府审批前，应当先经乡、镇人民代表大会审议，代表的审议意见交由本级人民政府研究处理。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村寨规划在报送审批前，应当经村民会议或者村民代表会议讨论同意。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城乡规划组织编制机关报送审批城镇体系规划、城市总体规划或者镇总体规划，应当将本级人民代表大会常务委员会组成人员或者镇人民代表大会代表的审议意见和根据审议意见修改规划的情况一并报送。</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城乡规划组织编制机关应当依法将城乡规划草案通过报刊、互联网等媒体或者在特定的公共场所予以公示，征求专家和公众的意见。公示时间不得少于三十日。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城乡规划组织编制机关应当在报送人大常委会或者乡镇人民代表大会审议、政府审批的材料中附具意见采纳情况及理由。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经批准的城乡规划应当在三十日内向社会公布。但法律、行政法规规定不得公开的内容除外。</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乡规划审批前应当由审批机关的城乡规划主管部门组织专家和有关部门进行技术评审。省人民政府确定审批总体规划的镇以外的县级人民政府所在地的镇的总体规划批准前，可以报送省人民政府城乡规划主管部门组织专家和有关部门进行技术评审。</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省域城镇体系规划、州域城镇体系规划、城市总体规划、镇总体规划的组织编制机关，应当组织有关部门和专家每5年对规划实施情况进行一次评估。</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经依法批准的城乡规划不得擅自修改。确需修改的，应当按照《中华人民共和国城乡规划法》和有关法律、法规规定的程序、权限进行。修改后的城乡规划应当向社会公布。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城乡规划的实施"/>
      <w:bookmarkEnd w:id="25"/>
      <w:r>
        <w:rPr>
          <w:rFonts w:ascii="Times New Roman" w:eastAsia="黑体" w:hAnsi="Times New Roman" w:cs="黑体" w:hint="eastAsia"/>
          <w:szCs w:val="32"/>
        </w:rPr>
        <w:t>第三章　城乡规划的实施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省人民政府城乡规划主管部门应当根据国家有关城乡规划技术标准和规定，结合本省实际，制定本省城乡规划技术标准和规定。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城市、县人民政府根据国家和省有关城乡规划技术标准和规定，可以制定所辖区域城乡规划管理技术规定，报上一级人民政府城乡规划主管部门备案。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城市、县、镇人民政府应当根据城市总体规划、镇总体规划、土地利用总体规划和年度计划以及国民经济和社会发展规划，制定近期建设规划，报总体规划审批机关备案。</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建设项目依法应当核发选址意见书的，按照下列情形核发：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（一）国家和省人民政府投资主管部门批准、核准的，由省人民政府城乡规划主管部门核发；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（二）市、州人民政府和县级人民政府投资主管部门批准、核准的，由同级城乡规划主管部门核发选址意见书，但市辖区人民政府投资主管部门批准、核准的，由市人民政府城乡规划主管部门核发选址意见书。</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建设项目规划选址应当按照法律、法规、规章、技术标准及城乡规划的规定，明确建设项目的基本情况、规划选址的主要依据和用地范围及具体规划要求。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建设项目选址意见书办结时限为三十日。三十日不能作出决定的，经本行政机关负责人批准，可以延长十日，并应当将延长期限的理由告知申请人。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建设项目选址意见书自核发之日起二年内，建设项目未取得投资主管部门批准文件的，建设项目选址意见书自行失效。</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在城市、镇规划区内以划拨方式提供国有土地使用权的建设项目，应当依法核发建设用地规划许可证。建设单位取得建设用地规划许可证后，方可依法申请土地划拨。</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出让方式提供国有土地使用权的，应当依法将城市、县人民政府城乡规划主管部门提出的出让地块的规划条件作为国有土地使用权出让合同的组成部分。未确定规划条件的地块，不得出让国有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以出让方式取得国有土地使用权的建设项目，建设单位应当依法向城市、县人民政府城乡规划主管部门领取建设用地规划许可证。</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出让地块的规划条件应当依法明确使用性质、建筑高度、建筑密度、容积率、绿地率、公共设施配套要求、交通出入口方位、停车泊位、建筑后退红线距离、防灾等内容，提出建筑体量、体型、色彩等指导原则。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各级人民政府城乡规划主管部门不得在建设用地规划许可中，擅自改变作为国有土地使用权出让合同组成部分的规划条件。</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建设单位申请建设用地规划许可证，城乡规划主管部门审批时应当在符合规定要求的地形图上划定建设用地界址点坐标和界址线。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建设用地规划许可证办结时限为三十日。三十日不能作出决定的，经本行政机关负责人批准，可以延长十日，并应当将延长期限的理由告知申请人。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建设用地规划许可证自核发之日起二年内，建设项目未取得土地批准文件的，建设用地规划许可证自行失效。</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在城市、镇规划区内进行建筑物、构筑物、道路、管线和其他工程建设的，建设单位或者个人应当向城市、县人民政府城乡规划主管部门申请办理建设工程规划许可证。</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申请办理建设工程规划许可证，应当提交下列材料：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（一）建设项目用地批准文件；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（二）建设项目批准、核准、备案文件；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（三）建设工程设计方案，重大城乡基础设施项目应当提交建设工程初步设计方案；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需要建设单位编制修建性详细规划的建设项目，还应当提交修建性详细规划。</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建设工程符合城乡规划，建设工程的性质、规模、高度、建筑密度、容积率、绿地率和其他相关技术指标符合法律、法规、规章、城乡规划管理技术规定的，城乡规划主管部门应当核发建设工程规划许可证。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建设工程规划许可证办结时限为四十五日。四十五日不能办结的，经本级人民政府负责人批准，可以延长十五日，并应当将延长期限的理由告知申请人。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规划许可证自核发之日起二年内，建设项目未取得建筑工程施工许可证的，建设工程规划许可证自行失效。需要申请延期的，被许可人应当在有效期届满三十日前向原发证机关提出申请，经批准后可以延期一次，时间不得超过二年。</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在乡、村寨规划区内进行乡镇企业、乡村公共设施和公益事业建设的单位或者个人，应当向乡、镇人民政府提出申请，由乡、镇人民政府报城市、县人民政府城乡规划主管部门核发乡村建设规划许可证。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在乡、村寨规划区内进行农村村民住宅建设的，应当向村民委员会提出建房申请，报乡、镇人民政府审核，城市、县人民政府城乡规划主管部门核发乡村建设规划许可证。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有关行政机关应当在三十日内提出审核意见或者作出行政许可决定，三十日内不能提出审核意见或者不能作出行政许可决定的，经本行政机关负责人批准，可以延长十日，并应当将延长期限的理由告知申请人。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乡村建设规划许可证自核发之日起二年内未取得用地批准文件的，乡村建设规划许可证自行失效。</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城市、县人民政府城乡规划主管部门应当将经审定的修建性详细规划、建设工程设计方案的总平面图予以公布。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城乡规划主管部门在核发建设工程规划许可证后，应当及时公示规划许可证的颁证情况。但是法律、法规规定不得公开的内容除外。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建设工程开工前，建设单位或者个人应当在施工现场醒目位置设置建设工程规划公示牌，对建设工程的总体布局、单体设计和主要技术经济指标进行公示。</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建设工程勘察单位、设计单位应当按照城乡规划和规划条件进行勘察、设计。</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建设工程放线由城乡规划主管部门或者其委托的具有相应测绘资质的单位实施。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建设工程验线由城乡规划主管部门实施。</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建设工程竣工后，建设单位或者个人应当向建设工程所在地市、县城乡规划主管部门提出竣工规划核实申请。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建设工程符合规划许可要求的，城乡规划主管部门应当自收到申请之日起十日内出具建设工程竣工规划核实文件。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建设工程未取得城乡规划主管部门出具的建设工程竣工规划核实文件的，建设单位不得组织竣工验收，建设行政主管部门不予办理建设工程竣工验收备案手续，房地产行政主管部门不予办理房屋权属登记。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建设工程竣工验收后六个月内，建设单位应当向城乡规划主管部门报送有关竣工验收资料。</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建设工程竣工规划核实应当包括下列内容：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（一）规划许可文件；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（二）建设用地的性质、位置、界线、面积；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（三）建筑物、构筑物的使用性质、建设规模、平面位置、层数、高度、立面造型、外装材料、外装色彩；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（四）基础设施和公共设施建设，建筑密度、容积率、绿地率、公共绿地面积、停车泊位、后退红线及交通出入口等；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（五）建设用地和代征用地范围内应当拆除、清理的建筑物、构筑物和设施；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（六）法律、法规和规划许可规定的其他内容。</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城市、镇规划区内的临时用地和临时建设，不得影响城市、镇规划的实施。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城市、镇规划区内建设单位或者个人临时建设使用土地，应当向城乡规划主管部门申请办理临时用地规划许可证。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临时建设，应当经城乡规划主管部门审查批准，取得临时建设工程规划许可证。临时建筑物、构筑物不得改变为永久性建筑。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临时用地和临时建设的使用期限一般不超过二年，并挂牌公示。临时建筑物、构筑物批准期限届满之日前，应当自行拆除。</w:t>
      </w:r>
    </w:p>
    <w:p>
      <w:pPr>
        <w:ind w:firstLine="640" w:firstLineChars="200"/>
        <w:rPr>
          <w:rFonts w:ascii="Times New Roman" w:hAnsi="Times New Roman" w:cs="仿宋_GB2312"/>
          <w:sz w:val="32"/>
          <w:szCs w:val="32"/>
        </w:rPr>
      </w:pPr>
      <w:bookmarkStart w:id="45" w:name="第四十一条"/>
      <w:bookmarkEnd w:id="45"/>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房屋所有人、使用人和管理单位应当按照规划许可的用途使用房屋。确需变更房屋用途的，应当依法向城乡规划主管部门和土地主管部门申请办理变更手续。</w:t>
      </w:r>
    </w:p>
    <w:p>
      <w:pPr>
        <w:ind w:firstLine="640" w:firstLineChars="200"/>
        <w:rPr>
          <w:rFonts w:ascii="Times New Roman" w:hAnsi="Times New Roman" w:cs="仿宋_GB2312"/>
          <w:sz w:val="32"/>
          <w:szCs w:val="32"/>
        </w:rPr>
      </w:pPr>
      <w:bookmarkStart w:id="46" w:name="第四十二条"/>
      <w:bookmarkEnd w:id="46"/>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在规划区内进行开矿采石、挖砂取土、掘坑填塘等改变地形地貌活动的，申请人办理相关许可时应当依法报城乡规划主管部门和其他有关部门同意。</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监督检查"/>
      <w:bookmarkEnd w:id="47"/>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各级人民政府每年应当向本级人民代表大会常务委员会或者乡、镇人民代表大会报告城乡规划的实施情况，并接受监督。</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县级以上人民政府及其城乡规划主管部门应当加强对城乡规划编制、审批、实施、修改的监督检查。</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县级以上人民政府应当采取措施，建立健全城乡规划督察制度。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上级人民政府可以向下级人民政府派驻城乡规划督察员，城乡规划督察员负责对所派驻地区的城乡规划工作进行督察。</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城乡规划督察员发现派驻地人民政府规划管理行政行为不当的，可以提出督察建议。有违反《中华人民共和国城乡规划法》及本条例规定情形的，应当及时向派出机关报告。派出机关应当予以核实，并可以视情形向派驻地人民政府发出规划督察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派驻地人民政府应当根据规划督察意见书进行整改，并及时报告整改情况。</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县级以上人民政府城乡规划主管部门对城乡规划的实施情况进行监督检查，有权采取以下措施：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（一）进入被检查单位的工作场所进行检查；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（二）要求被检查的单位和人员提供与监督检查事项有关的文件、资料及其他材料，并进行查阅或者复制；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（三）要求被检查的单位和人员就监督事项涉及的问题作出解释和说明；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（四）责令被检查的单位和人员停止违反法律、法规的行为；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城乡规划主管部门在查处违反《中华人民共和国城乡规划法》及本条例规定的行为时，发现国家机关工作人员依法应当给予行政处分的，应当向其任免机关或者监察机关提出处分建议。</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依照《中华人民共和国城乡规划法》及本条例规定应当给予行政处罚，而有关城乡规划主管部门不给予行政处罚的，上级人民政府城乡规划主管部门有权责令其作出行政处罚决定或者建议有关人民政府责令其给予行政处罚。</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城乡规划主管部门违反本条例规定作出行政许可的，上级人民政府城乡规划主管部门有权责令其撤销或者直接撤销该行政许可。因撤销行政许可给当事人合法权益造成损失的，应当依法给予赔偿。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法律责任"/>
      <w:bookmarkEnd w:id="5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未取得建设工程规划许可证或者未按照建设工程规划许可证的规定进行建设的，由县级以上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并可处以建设工程造价百分之十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前款所指尚可采取改正措施消除对城乡规划实施的影响的情形，需同时满足以下条件：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（一）违法建设工程处于城乡规划确定的建设用地范围内，且不影响近期建设规划和控制性详细规划实施的；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（二）违法建设工程不危害公共卫生、公共安全，不影响基础设施和公共服务设施正常运行的；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（三）违法建设工程不违反城乡规划确定的自然与历史文化资源保护要求的；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（四）违法建设工程没有引起相邻纠纷和不良社会影响或者相邻纠纷和不良社会影响可以消除的；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（五）违法建设工程经过改正后符合规划条件的。</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违反本条例第四十一条规定，擅自改变规划许可房屋用途的，由县级以上人民政府城乡规划主管部门责令限期改正；逾期不改正的，自逾期之日起按照每日每平方米处以五元以上二十元以下罚款。</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建设单位或者个人有下列行为之一的，由所在地城市、县人民政府城乡规划主管部门责令限期拆除，可以处以临时建设工程造价一倍以下的罚款；建设单位或者个人逾期未拆除的，依法强制拆除：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（一）未经批准进行临时建设的；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（二）未按照批准内容进行临时建设的；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（三）临时建筑物、构筑物超过批准期限不拆除的。</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县级以上人民政府城乡规划主管部门及其工作人员违反本条例规定的，对直接负责的主管人员和其他直接责任人员，按照《中华人民共和国城乡规划法》等法律、法规的规定处理。</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附则"/>
      <w:bookmarkEnd w:id="6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市辖区的城乡规划管理工作，由城市人民政府城乡规划主管部门统一负责。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未设镇建制的工矿区的居民点，参照本条例执行。</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本条例自2010年1月1日起施行。1991年1月19日贵州省第七届人民代表大会常务委员会第十七次会议通过的《贵州省〈中华人民共和国城市规划法〉实施办法》同时废止。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