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shd w:val="solid" w:color="FFFFFF" w:fill="auto"/>
        <w:kinsoku/>
        <w:wordWrap/>
        <w:overflowPunct/>
        <w:topLinePunct w:val="0"/>
        <w:autoSpaceDN w:val="0"/>
        <w:bidi w:val="0"/>
        <w:adjustRightInd/>
        <w:spacing w:line="592" w:lineRule="exact"/>
        <w:ind w:left="0" w:leftChars="0" w:right="0" w:rightChars="0"/>
        <w:jc w:val="center"/>
        <w:textAlignment w:val="auto"/>
        <w:outlineLvl w:val="9"/>
        <w:rPr>
          <w:rFonts w:hint="eastAsia" w:ascii="宋体" w:hAnsi="宋体" w:eastAsia="宋体" w:cs="宋体"/>
          <w:b w:val="0"/>
          <w:bCs/>
          <w:sz w:val="32"/>
          <w:szCs w:val="32"/>
          <w:shd w:val="clear" w:color="auto" w:fill="FFFFFF"/>
        </w:rPr>
      </w:pPr>
      <w:bookmarkStart w:id="3" w:name="_GoBack"/>
      <w:bookmarkEnd w:id="3"/>
    </w:p>
    <w:p>
      <w:pPr>
        <w:keepNext w:val="0"/>
        <w:keepLines w:val="0"/>
        <w:pageBreakBefore w:val="0"/>
        <w:shd w:val="solid" w:color="FFFFFF" w:fill="auto"/>
        <w:kinsoku/>
        <w:wordWrap/>
        <w:overflowPunct/>
        <w:topLinePunct w:val="0"/>
        <w:autoSpaceDN w:val="0"/>
        <w:bidi w:val="0"/>
        <w:adjustRightInd/>
        <w:spacing w:line="592" w:lineRule="exact"/>
        <w:ind w:left="0" w:leftChars="0" w:right="0" w:rightChars="0"/>
        <w:jc w:val="center"/>
        <w:textAlignment w:val="auto"/>
        <w:outlineLvl w:val="9"/>
        <w:rPr>
          <w:rFonts w:hint="eastAsia" w:ascii="宋体" w:hAnsi="宋体" w:eastAsia="宋体" w:cs="宋体"/>
          <w:b w:val="0"/>
          <w:bCs/>
          <w:sz w:val="32"/>
          <w:szCs w:val="32"/>
          <w:shd w:val="clear" w:color="auto" w:fill="FFFFFF"/>
        </w:rPr>
      </w:pPr>
    </w:p>
    <w:p>
      <w:pPr>
        <w:keepNext w:val="0"/>
        <w:keepLines w:val="0"/>
        <w:pageBreakBefore w:val="0"/>
        <w:shd w:val="solid" w:color="FFFFFF" w:fill="auto"/>
        <w:kinsoku/>
        <w:wordWrap/>
        <w:overflowPunct/>
        <w:topLinePunct w:val="0"/>
        <w:autoSpaceDN w:val="0"/>
        <w:bidi w:val="0"/>
        <w:adjustRightInd/>
        <w:spacing w:line="592" w:lineRule="exact"/>
        <w:ind w:left="0" w:leftChars="0" w:right="0" w:rightChars="0"/>
        <w:jc w:val="center"/>
        <w:textAlignment w:val="auto"/>
        <w:outlineLvl w:val="9"/>
        <w:rPr>
          <w:rFonts w:hint="eastAsia" w:ascii="宋体" w:hAnsi="宋体" w:eastAsia="宋体" w:cs="宋体"/>
          <w:b w:val="0"/>
          <w:bCs/>
          <w:sz w:val="44"/>
          <w:szCs w:val="44"/>
          <w:shd w:val="clear" w:color="auto" w:fill="FFFFFF"/>
        </w:rPr>
      </w:pPr>
      <w:r>
        <w:rPr>
          <w:rFonts w:hint="eastAsia" w:ascii="宋体" w:hAnsi="宋体" w:eastAsia="宋体" w:cs="宋体"/>
          <w:b w:val="0"/>
          <w:bCs/>
          <w:sz w:val="44"/>
          <w:szCs w:val="44"/>
          <w:shd w:val="clear" w:color="auto" w:fill="FFFFFF"/>
        </w:rPr>
        <w:t>贵州省大数据发展应用促进条例</w:t>
      </w:r>
    </w:p>
    <w:p>
      <w:pPr>
        <w:keepNext w:val="0"/>
        <w:keepLines w:val="0"/>
        <w:pageBreakBefore w:val="0"/>
        <w:shd w:val="solid" w:color="FFFFFF" w:fill="auto"/>
        <w:kinsoku/>
        <w:wordWrap/>
        <w:overflowPunct/>
        <w:topLinePunct w:val="0"/>
        <w:autoSpaceDN w:val="0"/>
        <w:bidi w:val="0"/>
        <w:adjustRightInd/>
        <w:spacing w:line="592" w:lineRule="exact"/>
        <w:ind w:left="0" w:leftChars="0" w:right="0" w:rightChars="0"/>
        <w:jc w:val="center"/>
        <w:textAlignment w:val="auto"/>
        <w:outlineLvl w:val="9"/>
        <w:rPr>
          <w:rFonts w:hint="eastAsia" w:ascii="宋体" w:hAnsi="宋体" w:eastAsia="宋体" w:cs="宋体"/>
          <w:b w:val="0"/>
          <w:bCs/>
          <w:sz w:val="32"/>
          <w:szCs w:val="32"/>
          <w:shd w:val="clear" w:color="auto" w:fill="FFFFFF"/>
        </w:rPr>
      </w:pPr>
    </w:p>
    <w:p>
      <w:pPr>
        <w:keepNext w:val="0"/>
        <w:keepLines w:val="0"/>
        <w:pageBreakBefore w:val="0"/>
        <w:shd w:val="solid" w:color="FFFFFF" w:fill="auto"/>
        <w:kinsoku/>
        <w:wordWrap/>
        <w:overflowPunct/>
        <w:topLinePunct w:val="0"/>
        <w:autoSpaceDN w:val="0"/>
        <w:bidi w:val="0"/>
        <w:adjustRightInd/>
        <w:spacing w:line="592" w:lineRule="exact"/>
        <w:ind w:left="0" w:leftChars="0" w:right="0" w:rightChars="0" w:firstLine="710" w:firstLineChars="200"/>
        <w:textAlignment w:val="auto"/>
        <w:outlineLvl w:val="9"/>
        <w:rPr>
          <w:rFonts w:hint="eastAsia" w:ascii="楷体_GB2312" w:eastAsia="楷体_GB2312"/>
          <w:kern w:val="0"/>
          <w:sz w:val="32"/>
          <w:szCs w:val="32"/>
        </w:rPr>
      </w:pPr>
      <w:r>
        <w:rPr>
          <w:rFonts w:hint="eastAsia" w:ascii="楷体_GB2312" w:eastAsia="楷体_GB2312"/>
          <w:kern w:val="0"/>
          <w:sz w:val="32"/>
          <w:szCs w:val="32"/>
        </w:rPr>
        <w:t>（2016年1月15日贵州省第十二届人民代表大会</w:t>
      </w:r>
    </w:p>
    <w:p>
      <w:pPr>
        <w:keepNext w:val="0"/>
        <w:keepLines w:val="0"/>
        <w:pageBreakBefore w:val="0"/>
        <w:shd w:val="solid" w:color="FFFFFF" w:fill="auto"/>
        <w:kinsoku/>
        <w:wordWrap/>
        <w:overflowPunct/>
        <w:topLinePunct w:val="0"/>
        <w:autoSpaceDN w:val="0"/>
        <w:bidi w:val="0"/>
        <w:adjustRightInd/>
        <w:spacing w:line="592" w:lineRule="exact"/>
        <w:ind w:left="0" w:leftChars="0" w:right="0" w:rightChars="0" w:firstLine="710" w:firstLineChars="200"/>
        <w:textAlignment w:val="auto"/>
        <w:outlineLvl w:val="9"/>
        <w:rPr>
          <w:rFonts w:hint="eastAsia" w:ascii="宋体" w:hAnsi="宋体" w:eastAsia="宋体" w:cs="宋体"/>
          <w:bCs/>
          <w:sz w:val="32"/>
          <w:szCs w:val="32"/>
        </w:rPr>
      </w:pPr>
      <w:r>
        <w:rPr>
          <w:rFonts w:hint="eastAsia" w:ascii="楷体_GB2312" w:eastAsia="楷体_GB2312"/>
          <w:kern w:val="0"/>
          <w:sz w:val="32"/>
          <w:szCs w:val="32"/>
        </w:rPr>
        <w:t>常务委员会</w:t>
      </w:r>
      <w:r>
        <w:rPr>
          <w:rFonts w:hint="eastAsia" w:ascii="楷体_GB2312" w:eastAsia="楷体_GB2312"/>
          <w:sz w:val="32"/>
          <w:szCs w:val="32"/>
        </w:rPr>
        <w:t>第二十次会议通过</w:t>
      </w:r>
      <w:r>
        <w:rPr>
          <w:rFonts w:hint="eastAsia" w:ascii="楷体_GB2312" w:hAnsi="宋体" w:eastAsia="楷体_GB2312"/>
          <w:bCs/>
          <w:sz w:val="32"/>
          <w:szCs w:val="32"/>
        </w:rPr>
        <w:t>）</w:t>
      </w:r>
    </w:p>
    <w:p>
      <w:pPr>
        <w:keepNext w:val="0"/>
        <w:keepLines w:val="0"/>
        <w:pageBreakBefore w:val="0"/>
        <w:shd w:val="solid" w:color="FFFFFF" w:fill="auto"/>
        <w:kinsoku/>
        <w:wordWrap/>
        <w:overflowPunct/>
        <w:topLinePunct w:val="0"/>
        <w:autoSpaceDN w:val="0"/>
        <w:bidi w:val="0"/>
        <w:adjustRightInd/>
        <w:spacing w:line="592" w:lineRule="exact"/>
        <w:ind w:left="0" w:leftChars="0" w:right="0" w:rightChars="0" w:firstLine="710" w:firstLineChars="200"/>
        <w:textAlignment w:val="auto"/>
        <w:outlineLvl w:val="9"/>
        <w:rPr>
          <w:rFonts w:hint="eastAsia" w:ascii="宋体" w:hAnsi="宋体" w:eastAsia="宋体" w:cs="宋体"/>
          <w:bCs/>
          <w:sz w:val="32"/>
          <w:szCs w:val="32"/>
        </w:rPr>
      </w:pPr>
    </w:p>
    <w:p>
      <w:pPr>
        <w:keepNext w:val="0"/>
        <w:keepLines w:val="0"/>
        <w:pageBreakBefore w:val="0"/>
        <w:numPr>
          <w:ilvl w:val="0"/>
          <w:numId w:val="1"/>
        </w:numPr>
        <w:shd w:val="solid" w:color="FFFFFF" w:fill="auto"/>
        <w:kinsoku/>
        <w:wordWrap/>
        <w:overflowPunct/>
        <w:topLinePunct w:val="0"/>
        <w:autoSpaceDN w:val="0"/>
        <w:bidi w:val="0"/>
        <w:adjustRightInd/>
        <w:spacing w:line="592"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总  则</w:t>
      </w:r>
    </w:p>
    <w:p>
      <w:pPr>
        <w:keepNext w:val="0"/>
        <w:keepLines w:val="0"/>
        <w:pageBreakBefore w:val="0"/>
        <w:numPr>
          <w:ilvl w:val="0"/>
          <w:numId w:val="0"/>
        </w:numPr>
        <w:shd w:val="solid" w:color="FFFFFF" w:fill="auto"/>
        <w:kinsoku/>
        <w:wordWrap/>
        <w:overflowPunct/>
        <w:topLinePunct w:val="0"/>
        <w:autoSpaceDN w:val="0"/>
        <w:bidi w:val="0"/>
        <w:adjustRightInd/>
        <w:spacing w:line="592" w:lineRule="exact"/>
        <w:ind w:left="0" w:leftChars="0" w:right="0" w:rightChars="0"/>
        <w:jc w:val="both"/>
        <w:textAlignment w:val="auto"/>
        <w:outlineLvl w:val="9"/>
        <w:rPr>
          <w:rFonts w:hint="eastAsia" w:ascii="黑体" w:hAnsi="黑体" w:eastAsia="黑体" w:cs="黑体"/>
          <w:sz w:val="32"/>
          <w:szCs w:val="32"/>
        </w:rPr>
      </w:pP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hAnsi="楷体_GB2312" w:eastAsia="仿宋_GB2312" w:cs="楷体_GB2312"/>
          <w:sz w:val="32"/>
          <w:szCs w:val="32"/>
        </w:rPr>
      </w:pPr>
      <w:r>
        <w:rPr>
          <w:rFonts w:hint="eastAsia" w:ascii="黑体" w:hAnsi="黑体" w:eastAsia="黑体"/>
          <w:sz w:val="32"/>
          <w:szCs w:val="32"/>
          <w:shd w:val="clear" w:color="auto" w:fill="FFFFFF"/>
        </w:rPr>
        <w:t>第一条</w:t>
      </w:r>
      <w:r>
        <w:rPr>
          <w:rFonts w:hint="eastAsia" w:ascii="仿宋_GB2312" w:hAnsi="黑体" w:eastAsia="仿宋_GB2312"/>
          <w:sz w:val="32"/>
          <w:szCs w:val="32"/>
          <w:shd w:val="clear" w:color="auto" w:fill="FFFFFF"/>
        </w:rPr>
        <w:t xml:space="preserve">  </w:t>
      </w:r>
      <w:r>
        <w:rPr>
          <w:rFonts w:hint="eastAsia" w:ascii="仿宋_GB2312" w:hAnsi="仿宋_GB2312" w:eastAsia="仿宋_GB2312" w:cs="仿宋_GB2312"/>
          <w:sz w:val="32"/>
          <w:szCs w:val="32"/>
        </w:rPr>
        <w:t>为推动大数据发展应用，运用大数据促进</w:t>
      </w:r>
      <w:r>
        <w:rPr>
          <w:rFonts w:hint="eastAsia" w:ascii="仿宋_GB2312" w:hAnsi="仿宋" w:eastAsia="仿宋_GB2312"/>
          <w:sz w:val="32"/>
          <w:szCs w:val="32"/>
        </w:rPr>
        <w:t>经济发展、完善社会治理、提升政府服务管理能力、服务改善民生</w:t>
      </w:r>
      <w:r>
        <w:rPr>
          <w:rFonts w:hint="eastAsia" w:ascii="仿宋_GB2312" w:hAnsi="仿宋_GB2312" w:eastAsia="仿宋_GB2312" w:cs="仿宋_GB2312"/>
          <w:sz w:val="32"/>
          <w:szCs w:val="32"/>
        </w:rPr>
        <w:t>，培育壮大战略性新兴产业，</w:t>
      </w:r>
      <w:r>
        <w:rPr>
          <w:rFonts w:hint="eastAsia" w:ascii="仿宋_GB2312" w:hAnsi="仿宋" w:eastAsia="仿宋_GB2312"/>
          <w:sz w:val="32"/>
          <w:szCs w:val="32"/>
        </w:rPr>
        <w:t>根据有关法律、法规的规定，结合本省实际，制定本条例。</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shd w:val="clear" w:color="auto" w:fill="FFFFFF"/>
        </w:rPr>
        <w:t>第二条</w:t>
      </w:r>
      <w:r>
        <w:rPr>
          <w:rFonts w:hint="eastAsia" w:ascii="仿宋_GB2312" w:eastAsia="仿宋_GB2312"/>
          <w:sz w:val="32"/>
          <w:szCs w:val="32"/>
          <w:shd w:val="clear" w:color="auto" w:fill="FFFFFF"/>
        </w:rPr>
        <w:t xml:space="preserve">  </w:t>
      </w:r>
      <w:r>
        <w:rPr>
          <w:rFonts w:hint="eastAsia" w:ascii="仿宋_GB2312" w:hAnsi="仿宋_GB2312" w:eastAsia="仿宋_GB2312" w:cs="仿宋_GB2312"/>
          <w:sz w:val="32"/>
          <w:szCs w:val="32"/>
        </w:rPr>
        <w:t>本省行政区域内大数据发展应用及其相关活动，应当遵守本条例。</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大数据，是指以容量大、类型多、存取速度快、应用价值高为主要特征的数据集合，是对数量巨大、来源分散、格式多样的数据进行采集、存储和关联分析，发现新知识、创造新价值、提升新能力的新一代信息技术和服务业态。</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shd w:val="clear" w:color="auto" w:fill="FFFFFF"/>
        </w:rPr>
        <w:t>第三条</w:t>
      </w:r>
      <w:r>
        <w:rPr>
          <w:rFonts w:hint="eastAsia" w:ascii="仿宋_GB2312" w:hAnsi="黑体" w:eastAsia="仿宋_GB2312"/>
          <w:sz w:val="32"/>
          <w:szCs w:val="32"/>
        </w:rPr>
        <w:t xml:space="preserve">  </w:t>
      </w:r>
      <w:r>
        <w:rPr>
          <w:rFonts w:hint="eastAsia" w:ascii="仿宋_GB2312" w:hAnsi="仿宋" w:eastAsia="仿宋_GB2312"/>
          <w:sz w:val="32"/>
          <w:szCs w:val="32"/>
        </w:rPr>
        <w:t>大数据发展应用应当坚持统筹</w:t>
      </w:r>
      <w:r>
        <w:rPr>
          <w:rFonts w:hint="eastAsia" w:ascii="仿宋_GB2312" w:hAnsi="仿宋_GB2312" w:eastAsia="仿宋_GB2312" w:cs="仿宋_GB2312"/>
          <w:sz w:val="32"/>
          <w:szCs w:val="32"/>
        </w:rPr>
        <w:t>规划、创新引领，政府引导、市场主</w:t>
      </w:r>
      <w:r>
        <w:rPr>
          <w:rFonts w:hint="eastAsia" w:ascii="仿宋_GB2312" w:hAnsi="仿宋" w:eastAsia="仿宋_GB2312"/>
          <w:sz w:val="32"/>
          <w:szCs w:val="32"/>
        </w:rPr>
        <w:t>导，共享开放、保障安全的</w:t>
      </w:r>
      <w:r>
        <w:rPr>
          <w:rFonts w:hint="eastAsia" w:ascii="仿宋_GB2312" w:hAnsi="仿宋_GB2312" w:eastAsia="仿宋_GB2312" w:cs="仿宋_GB2312"/>
          <w:sz w:val="32"/>
          <w:szCs w:val="32"/>
        </w:rPr>
        <w:t>原则。</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shd w:val="clear" w:color="auto" w:fill="FFFFFF"/>
        </w:rPr>
        <w:t>第四条</w:t>
      </w:r>
      <w:r>
        <w:rPr>
          <w:rFonts w:hint="eastAsia" w:ascii="仿宋_GB2312" w:hAnsi="仿宋_GB2312" w:eastAsia="仿宋_GB2312" w:cs="仿宋_GB2312"/>
          <w:sz w:val="32"/>
          <w:szCs w:val="32"/>
        </w:rPr>
        <w:t xml:space="preserve">  省人民政府坚持应用和服务导向，推进大数据发展应用先行先试；积极引进和培育优势企业、优质资源、优秀人才，促进大数据产业核心业态、关联业态、衍生业态协调发展；加快推进国家大数据综合试验区和</w:t>
      </w:r>
      <w:r>
        <w:rPr>
          <w:rFonts w:hint="eastAsia" w:ascii="仿宋_GB2312" w:hAnsi="Arial" w:eastAsia="仿宋_GB2312" w:cs="Arial"/>
          <w:sz w:val="32"/>
          <w:szCs w:val="32"/>
        </w:rPr>
        <w:t>大数据产业发展聚集区、大数据产业技术创新试验区、大数据战略重点实验室</w:t>
      </w:r>
      <w:r>
        <w:rPr>
          <w:rFonts w:hint="eastAsia" w:ascii="仿宋_GB2312" w:hAnsi="仿宋_GB2312" w:eastAsia="仿宋_GB2312" w:cs="仿宋_GB2312"/>
          <w:sz w:val="32"/>
          <w:szCs w:val="32"/>
        </w:rPr>
        <w:t>、大数据安全与管理工程、跨境数据自由港等</w:t>
      </w:r>
      <w:r>
        <w:rPr>
          <w:rFonts w:hint="eastAsia" w:ascii="仿宋_GB2312" w:hAnsi="Arial" w:eastAsia="仿宋_GB2312" w:cs="Arial"/>
          <w:sz w:val="32"/>
          <w:szCs w:val="32"/>
        </w:rPr>
        <w:t>建设发展，形成</w:t>
      </w:r>
      <w:r>
        <w:rPr>
          <w:rFonts w:hint="eastAsia" w:ascii="仿宋_GB2312" w:hAnsi="仿宋_GB2312" w:eastAsia="仿宋_GB2312" w:cs="仿宋_GB2312"/>
          <w:sz w:val="32"/>
          <w:szCs w:val="32"/>
        </w:rPr>
        <w:t>大数据资源汇集中心、企业聚集基地、产业发展基地、人才创业基地、技术创新基地和应用服务示范基地。</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shd w:val="clear" w:color="auto" w:fill="FFFFFF"/>
        </w:rPr>
        <w:t>第五条</w:t>
      </w:r>
      <w:r>
        <w:rPr>
          <w:rFonts w:hint="eastAsia" w:ascii="仿宋_GB2312" w:eastAsia="仿宋_GB2312"/>
          <w:sz w:val="32"/>
          <w:szCs w:val="32"/>
          <w:shd w:val="clear" w:color="auto" w:fill="FFFFFF"/>
        </w:rPr>
        <w:t xml:space="preserve">  省人民政府统一领导全省</w:t>
      </w:r>
      <w:r>
        <w:rPr>
          <w:rFonts w:hint="eastAsia" w:ascii="仿宋_GB2312" w:hAnsi="仿宋_GB2312" w:eastAsia="仿宋_GB2312" w:cs="仿宋_GB2312"/>
          <w:sz w:val="32"/>
          <w:szCs w:val="32"/>
        </w:rPr>
        <w:t>大数据发展应用工作，市、州和县级人民政府负责本行政区域内大数据发展应用工作。</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hAnsi="仿宋_GB2312" w:eastAsia="仿宋_GB2312" w:cs="仿宋_GB2312"/>
          <w:sz w:val="32"/>
          <w:szCs w:val="32"/>
        </w:rPr>
      </w:pPr>
      <w:r>
        <w:rPr>
          <w:rFonts w:hint="eastAsia" w:ascii="仿宋_GB2312" w:eastAsia="仿宋_GB2312"/>
          <w:sz w:val="32"/>
          <w:szCs w:val="32"/>
          <w:shd w:val="clear" w:color="auto" w:fill="FFFFFF"/>
        </w:rPr>
        <w:t>县级以上人民政府应当</w:t>
      </w:r>
      <w:r>
        <w:rPr>
          <w:rFonts w:hint="eastAsia" w:ascii="仿宋_GB2312" w:hAnsi="仿宋_GB2312" w:eastAsia="仿宋_GB2312" w:cs="仿宋_GB2312"/>
          <w:sz w:val="32"/>
          <w:szCs w:val="32"/>
        </w:rPr>
        <w:t>将大数据发展应用纳入本行政区域国民经济和社会发展规划，协调解决大数据发展应用的重大问题。</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县级以上人民政府信息化行政主管部门负责大数据发展应用的具体工作，县级以上人民政府其他部门按照各自职责做好大数据发展应用相关工作。</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eastAsia="仿宋_GB2312"/>
          <w:sz w:val="32"/>
          <w:szCs w:val="32"/>
          <w:shd w:val="clear" w:color="auto" w:fill="FFFFFF"/>
        </w:rPr>
      </w:pPr>
      <w:r>
        <w:rPr>
          <w:rFonts w:hint="eastAsia" w:ascii="黑体" w:hAnsi="黑体" w:eastAsia="黑体"/>
          <w:sz w:val="32"/>
          <w:szCs w:val="32"/>
          <w:shd w:val="clear" w:color="auto" w:fill="FFFFFF"/>
        </w:rPr>
        <w:t>第六条</w:t>
      </w:r>
      <w:r>
        <w:rPr>
          <w:rFonts w:hint="eastAsia" w:ascii="仿宋_GB2312" w:hAnsi="黑体" w:eastAsia="仿宋_GB2312" w:cs="黑体"/>
          <w:sz w:val="32"/>
          <w:szCs w:val="32"/>
        </w:rPr>
        <w:t xml:space="preserve">  </w:t>
      </w:r>
      <w:r>
        <w:rPr>
          <w:rFonts w:hint="eastAsia" w:ascii="仿宋_GB2312" w:eastAsia="仿宋_GB2312"/>
          <w:sz w:val="32"/>
          <w:szCs w:val="32"/>
          <w:shd w:val="clear" w:color="auto" w:fill="FFFFFF"/>
        </w:rPr>
        <w:t>省人民政府信息化行政主管部门会同有关部门，按照适度超前、合理布局、绿色集约、资源共享的原则，编制本省大数据发展应用总体规划，报省人民政府批准后公布实施。</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hAnsi="仿宋_GB2312" w:eastAsia="仿宋_GB2312" w:cs="仿宋_GB2312"/>
          <w:sz w:val="32"/>
          <w:szCs w:val="32"/>
        </w:rPr>
      </w:pPr>
      <w:r>
        <w:rPr>
          <w:rFonts w:hint="eastAsia" w:ascii="仿宋_GB2312" w:eastAsia="仿宋_GB2312"/>
          <w:sz w:val="32"/>
          <w:szCs w:val="32"/>
          <w:shd w:val="clear" w:color="auto" w:fill="FFFFFF"/>
        </w:rPr>
        <w:t>市、州和县级人民政府以及省人民政府有关行政主管部门编制本区域、本部门、本行业大数据发展应用专项规划的，应当与省大数据发展应用总体规划相衔接，并报省人民政府信息化行政主管部门备案。</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shd w:val="clear" w:color="auto" w:fill="FFFFFF"/>
        </w:rPr>
        <w:t>第七条</w:t>
      </w:r>
      <w:r>
        <w:rPr>
          <w:rFonts w:hint="eastAsia" w:ascii="仿宋_GB2312" w:hAnsi="黑体" w:eastAsia="仿宋_GB2312" w:cs="黑体"/>
          <w:sz w:val="32"/>
          <w:szCs w:val="32"/>
        </w:rPr>
        <w:t xml:space="preserve">  </w:t>
      </w:r>
      <w:r>
        <w:rPr>
          <w:rFonts w:hint="eastAsia" w:ascii="仿宋_GB2312" w:eastAsia="仿宋_GB2312"/>
          <w:sz w:val="32"/>
          <w:szCs w:val="32"/>
          <w:shd w:val="clear" w:color="auto" w:fill="FFFFFF"/>
        </w:rPr>
        <w:t>县级以上</w:t>
      </w:r>
      <w:r>
        <w:rPr>
          <w:rFonts w:hint="eastAsia" w:ascii="仿宋_GB2312" w:hAnsi="仿宋_GB2312" w:eastAsia="仿宋_GB2312" w:cs="仿宋_GB2312"/>
          <w:sz w:val="32"/>
          <w:szCs w:val="32"/>
        </w:rPr>
        <w:t>人民政府及其部门应当加强大数据发展应用宣传教育，提高全社会大数据发展应用意识和能力。</w:t>
      </w:r>
    </w:p>
    <w:p>
      <w:pPr>
        <w:keepNext w:val="0"/>
        <w:keepLines w:val="0"/>
        <w:pageBreakBefore w:val="0"/>
        <w:kinsoku/>
        <w:wordWrap/>
        <w:overflowPunct/>
        <w:topLinePunct w:val="0"/>
        <w:bidi w:val="0"/>
        <w:adjustRightInd/>
        <w:spacing w:line="592" w:lineRule="exact"/>
        <w:ind w:left="0" w:leftChars="0" w:right="0" w:rightChars="0"/>
        <w:textAlignment w:val="auto"/>
        <w:outlineLvl w:val="9"/>
        <w:rPr>
          <w:rFonts w:hint="eastAsia" w:ascii="黑体" w:hAnsi="黑体" w:eastAsia="黑体"/>
          <w:sz w:val="32"/>
          <w:szCs w:val="32"/>
          <w:shd w:val="clear" w:color="auto" w:fill="FFFFFF"/>
        </w:rPr>
      </w:pPr>
    </w:p>
    <w:p>
      <w:pPr>
        <w:keepNext w:val="0"/>
        <w:keepLines w:val="0"/>
        <w:pageBreakBefore w:val="0"/>
        <w:kinsoku/>
        <w:wordWrap/>
        <w:overflowPunct/>
        <w:topLinePunct w:val="0"/>
        <w:bidi w:val="0"/>
        <w:adjustRightInd/>
        <w:spacing w:line="592" w:lineRule="exact"/>
        <w:ind w:left="0" w:leftChars="0" w:right="0" w:rightChars="0"/>
        <w:jc w:val="center"/>
        <w:textAlignment w:val="auto"/>
        <w:outlineLvl w:val="9"/>
        <w:rPr>
          <w:rFonts w:hint="eastAsia" w:ascii="黑体" w:hAnsi="黑体" w:eastAsia="黑体"/>
          <w:sz w:val="32"/>
          <w:szCs w:val="32"/>
          <w:shd w:val="clear" w:color="auto" w:fill="FFFFFF"/>
        </w:rPr>
      </w:pPr>
      <w:r>
        <w:rPr>
          <w:rFonts w:hint="eastAsia" w:ascii="黑体" w:hAnsi="黑体" w:eastAsia="黑体"/>
          <w:sz w:val="32"/>
          <w:szCs w:val="32"/>
          <w:shd w:val="clear" w:color="auto" w:fill="FFFFFF"/>
        </w:rPr>
        <w:t>第二章  发展应用</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黑体" w:hAnsi="黑体" w:eastAsia="黑体"/>
          <w:sz w:val="32"/>
          <w:szCs w:val="32"/>
          <w:shd w:val="clear" w:color="auto" w:fill="FFFFFF"/>
        </w:rPr>
      </w:pP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shd w:val="clear" w:color="auto" w:fill="FFFFFF"/>
        </w:rPr>
        <w:t>第八条</w:t>
      </w:r>
      <w:r>
        <w:rPr>
          <w:rFonts w:hint="eastAsia" w:ascii="仿宋_GB2312" w:eastAsia="仿宋_GB2312"/>
          <w:sz w:val="32"/>
          <w:szCs w:val="32"/>
          <w:shd w:val="clear" w:color="auto" w:fill="FFFFFF"/>
        </w:rPr>
        <w:t xml:space="preserve">  </w:t>
      </w:r>
      <w:r>
        <w:rPr>
          <w:rFonts w:hint="eastAsia" w:ascii="仿宋_GB2312" w:hAnsi="仿宋_GB2312" w:eastAsia="仿宋_GB2312" w:cs="仿宋_GB2312"/>
          <w:sz w:val="32"/>
          <w:szCs w:val="32"/>
        </w:rPr>
        <w:t>省、市、州人民政府可以设立大数据发展应用专项资金，用于大数据发展应用研究和标准制定、产业链构建、重大应用示范工程建设、创业孵化等；县级人民政府根据需要，可以相应设立大数据发展应用专项资金。</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依法设立大数据发展基金，引导社会资本投资大数据发展应用。</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鼓励金融机构创新金融产品，完善金融服务，支持大数据发展应用；鼓励社会资金采取风险投资、创业投资、股权投资等方式，参与大数据发展应用；鼓励、支持符合条件的大数据企业依法进入资本市场融资。</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shd w:val="clear" w:color="auto" w:fill="FFFFFF"/>
        </w:rPr>
        <w:t>第九条</w:t>
      </w:r>
      <w:r>
        <w:rPr>
          <w:rFonts w:hint="eastAsia" w:ascii="仿宋_GB2312" w:hAnsi="黑体" w:eastAsia="仿宋_GB2312" w:cs="黑体"/>
          <w:sz w:val="32"/>
          <w:szCs w:val="32"/>
        </w:rPr>
        <w:t xml:space="preserve">  </w:t>
      </w:r>
      <w:r>
        <w:rPr>
          <w:rFonts w:hint="eastAsia" w:ascii="仿宋_GB2312" w:hAnsi="仿宋_GB2312" w:eastAsia="仿宋_GB2312" w:cs="仿宋_GB2312"/>
          <w:sz w:val="32"/>
          <w:szCs w:val="32"/>
        </w:rPr>
        <w:t>县级以上人民政府可以确定本行政区域大数据发展应用重点领域，制定支持大数据产业发展、产品应用、购买服务等政策措施。</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县级以上人民政府应当结合本行政区域大数据发展应用重点领域，制定大数据人才引进培养计划，积极引进领军人才和高层次人才,加强本土人才培养，并为大数据人才开展教学科研和创业创新等活动创造条件。</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hAnsi="仿宋_GB2312" w:eastAsia="仿宋_GB2312" w:cs="仿宋_GB2312"/>
          <w:w w:val="99"/>
          <w:kern w:val="0"/>
          <w:sz w:val="32"/>
          <w:szCs w:val="32"/>
          <w:shd w:val="clear" w:color="auto" w:fill="FFFFFF"/>
        </w:rPr>
      </w:pPr>
      <w:r>
        <w:rPr>
          <w:rFonts w:hint="eastAsia" w:ascii="黑体" w:hAnsi="黑体" w:eastAsia="黑体"/>
          <w:sz w:val="32"/>
          <w:szCs w:val="32"/>
          <w:shd w:val="clear" w:color="auto" w:fill="FFFFFF"/>
        </w:rPr>
        <w:t>第十条</w:t>
      </w:r>
      <w:r>
        <w:rPr>
          <w:rFonts w:hint="eastAsia" w:ascii="仿宋_GB2312" w:hAnsi="黑体" w:eastAsia="仿宋_GB2312" w:cs="黑体"/>
          <w:kern w:val="0"/>
          <w:sz w:val="32"/>
          <w:szCs w:val="32"/>
          <w:shd w:val="clear" w:color="auto" w:fill="FFFFFF"/>
        </w:rPr>
        <w:t xml:space="preserve">  </w:t>
      </w:r>
      <w:r>
        <w:rPr>
          <w:rFonts w:hint="eastAsia" w:ascii="仿宋_GB2312" w:hAnsi="仿宋_GB2312" w:eastAsia="仿宋_GB2312" w:cs="仿宋_GB2312"/>
          <w:sz w:val="32"/>
          <w:szCs w:val="32"/>
        </w:rPr>
        <w:t>县级以上人民政府应当根据土地利用总体规划和大数据发展应用总体规划、专项规划，保障大数据项目建设用地；对新增大数据项目建设用地，优先列入近期城乡规划、土地利用年度计划；年度内新增建设用地，优先用于大数据建设项目。</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shd w:val="clear" w:color="auto" w:fill="FFFFFF"/>
        </w:rPr>
        <w:t>第十一条</w:t>
      </w:r>
      <w:r>
        <w:rPr>
          <w:rFonts w:hint="eastAsia" w:ascii="仿宋_GB2312" w:hAnsi="仿宋_GB2312" w:eastAsia="仿宋_GB2312" w:cs="仿宋_GB2312"/>
          <w:sz w:val="32"/>
          <w:szCs w:val="32"/>
        </w:rPr>
        <w:t xml:space="preserve">  符合国家税收优惠政策规定的大数据企业,享受税收优惠。</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大数据高层次人才或者大数据企业员工年缴纳个人所得税达到规定数额的，按照有关规定给予奖励；具体办法由省人民政府制定。</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shd w:val="clear" w:color="auto" w:fill="FFFFFF"/>
        </w:rPr>
        <w:t>第十二条</w:t>
      </w:r>
      <w:r>
        <w:rPr>
          <w:rFonts w:hint="eastAsia" w:ascii="仿宋_GB2312" w:hAnsi="仿宋_GB2312" w:eastAsia="仿宋_GB2312" w:cs="仿宋_GB2312"/>
          <w:sz w:val="32"/>
          <w:szCs w:val="32"/>
        </w:rPr>
        <w:t xml:space="preserve">  鼓励高等院校、教学科研机构和企事业单位以设立研发中心、技术持股、期权激励、学术交流、服务外包、产业合作等方式，积极利用国内外大数据人才资源。</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鼓励高等院校、科研机构、职业学校与企业合作，开展大数据发展应用技术研究，建立大数据教育实践、创新创业和培训基地。</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支持高等院校大数据学科建设，开设大数据相关课程。</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eastAsia="仿宋_GB2312"/>
          <w:sz w:val="32"/>
          <w:szCs w:val="32"/>
          <w:shd w:val="clear" w:color="auto" w:fill="FFFFFF"/>
        </w:rPr>
      </w:pPr>
      <w:r>
        <w:rPr>
          <w:rFonts w:hint="eastAsia" w:ascii="黑体" w:hAnsi="黑体" w:eastAsia="黑体"/>
          <w:sz w:val="32"/>
          <w:szCs w:val="32"/>
          <w:shd w:val="clear" w:color="auto" w:fill="FFFFFF"/>
        </w:rPr>
        <w:t>第十三条</w:t>
      </w:r>
      <w:r>
        <w:rPr>
          <w:rFonts w:hint="eastAsia" w:ascii="仿宋_GB2312" w:eastAsia="仿宋_GB2312"/>
          <w:sz w:val="32"/>
          <w:szCs w:val="32"/>
          <w:shd w:val="clear" w:color="auto" w:fill="FFFFFF"/>
        </w:rPr>
        <w:t xml:space="preserve">  省人民政府应当整合资源、加大投入，加快信息基础设施建设,推动省内通信网络互联互通，提高城乡宽带、移动互联网覆盖率和接入能力，推进全省通信骨干网络扩容升级，提升互联网出省带宽能力。</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eastAsia="仿宋_GB2312"/>
          <w:sz w:val="32"/>
          <w:szCs w:val="32"/>
          <w:shd w:val="clear" w:color="auto" w:fill="FFFFFF"/>
        </w:rPr>
      </w:pPr>
      <w:r>
        <w:rPr>
          <w:rFonts w:hint="eastAsia" w:ascii="仿宋_GB2312" w:eastAsia="仿宋_GB2312"/>
          <w:sz w:val="32"/>
          <w:szCs w:val="32"/>
          <w:shd w:val="clear" w:color="auto" w:fill="FFFFFF"/>
        </w:rPr>
        <w:t>鼓励、支持网络通信运营企业加快骨干传输网、无线宽带网及新一代移动互联网建设和改造升级，优化网络通信基础设施布局，提高网络通信质量，降低网络通信资费。</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hAnsi="仿宋" w:eastAsia="仿宋_GB2312"/>
          <w:sz w:val="32"/>
          <w:szCs w:val="32"/>
        </w:rPr>
      </w:pPr>
      <w:r>
        <w:rPr>
          <w:rFonts w:hint="eastAsia" w:ascii="黑体" w:hAnsi="黑体" w:eastAsia="黑体"/>
          <w:sz w:val="32"/>
          <w:szCs w:val="32"/>
          <w:shd w:val="clear" w:color="auto" w:fill="FFFFFF"/>
        </w:rPr>
        <w:t>第十四条</w:t>
      </w:r>
      <w:r>
        <w:rPr>
          <w:rFonts w:hint="eastAsia" w:ascii="仿宋_GB2312" w:hAnsi="黑体" w:eastAsia="仿宋_GB2312" w:cs="黑体"/>
          <w:w w:val="99"/>
          <w:kern w:val="0"/>
          <w:sz w:val="32"/>
          <w:szCs w:val="32"/>
          <w:shd w:val="clear" w:color="auto" w:fill="FFFFFF"/>
        </w:rPr>
        <w:t xml:space="preserve">  </w:t>
      </w:r>
      <w:r>
        <w:rPr>
          <w:rFonts w:hint="eastAsia" w:ascii="仿宋_GB2312" w:hAnsi="仿宋" w:eastAsia="仿宋_GB2312"/>
          <w:sz w:val="32"/>
          <w:szCs w:val="32"/>
        </w:rPr>
        <w:t>省人民政府应当组织有关部门、教学科研机构等积极开展大数据发展应用相关标准研究，推动建立地方、行业大数据发展应用标准体系。</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鼓励大数据企业研究制定大数据发展应用相关标准。</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hAnsi="仿宋" w:eastAsia="仿宋_GB2312"/>
          <w:sz w:val="32"/>
          <w:szCs w:val="32"/>
        </w:rPr>
      </w:pPr>
      <w:r>
        <w:rPr>
          <w:rFonts w:hint="eastAsia" w:ascii="黑体" w:hAnsi="黑体" w:eastAsia="黑体"/>
          <w:sz w:val="32"/>
          <w:szCs w:val="32"/>
          <w:shd w:val="clear" w:color="auto" w:fill="FFFFFF"/>
        </w:rPr>
        <w:t xml:space="preserve">第十五条 </w:t>
      </w:r>
      <w:r>
        <w:rPr>
          <w:rFonts w:hint="eastAsia" w:ascii="仿宋_GB2312" w:hAnsi="黑体" w:eastAsia="仿宋_GB2312"/>
          <w:sz w:val="32"/>
          <w:szCs w:val="32"/>
        </w:rPr>
        <w:t xml:space="preserve"> </w:t>
      </w:r>
      <w:r>
        <w:rPr>
          <w:rFonts w:hint="eastAsia" w:ascii="仿宋_GB2312" w:hAnsi="仿宋_GB2312" w:eastAsia="仿宋_GB2312" w:cs="仿宋_GB2312"/>
          <w:sz w:val="32"/>
          <w:szCs w:val="32"/>
        </w:rPr>
        <w:t>政府投资的大数据工程应当进行项目需求分析，科学确定项目建设内容和投资规模，严格项目审批程序，并按照国家有关规定加强项目全过程管理。</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eastAsia="仿宋_GB2312"/>
          <w:sz w:val="32"/>
          <w:szCs w:val="32"/>
          <w:shd w:val="clear" w:color="auto" w:fill="FFFFFF"/>
        </w:rPr>
      </w:pPr>
      <w:r>
        <w:rPr>
          <w:rFonts w:hint="eastAsia" w:ascii="仿宋_GB2312" w:eastAsia="仿宋_GB2312"/>
          <w:sz w:val="32"/>
          <w:szCs w:val="32"/>
          <w:shd w:val="clear" w:color="auto" w:fill="FFFFFF"/>
        </w:rPr>
        <w:t>公共机构已建、在建信息平台和信息系统应当</w:t>
      </w:r>
      <w:r>
        <w:rPr>
          <w:rFonts w:hint="eastAsia" w:ascii="仿宋_GB2312" w:hAnsi="仿宋" w:eastAsia="仿宋_GB2312"/>
          <w:sz w:val="32"/>
          <w:szCs w:val="32"/>
        </w:rPr>
        <w:t>依法实</w:t>
      </w:r>
      <w:r>
        <w:rPr>
          <w:rFonts w:hint="eastAsia" w:ascii="仿宋_GB2312" w:eastAsia="仿宋_GB2312"/>
          <w:sz w:val="32"/>
          <w:szCs w:val="32"/>
          <w:shd w:val="clear" w:color="auto" w:fill="FFFFFF"/>
        </w:rPr>
        <w:t>现互联互通，不得新建孤立的信息平台和信息系统、设置妨碍互联互通的技术壁垒。</w:t>
      </w:r>
    </w:p>
    <w:p>
      <w:pPr>
        <w:pStyle w:val="10"/>
        <w:keepNext w:val="0"/>
        <w:keepLines w:val="0"/>
        <w:pageBreakBefore w:val="0"/>
        <w:kinsoku/>
        <w:wordWrap/>
        <w:overflowPunct/>
        <w:topLinePunct w:val="0"/>
        <w:bidi w:val="0"/>
        <w:adjustRightInd/>
        <w:spacing w:before="0" w:beforeAutospacing="0" w:after="0" w:afterAutospacing="0" w:line="592" w:lineRule="exact"/>
        <w:ind w:left="0" w:leftChars="0" w:right="0" w:rightChars="0" w:firstLine="710" w:firstLineChars="200"/>
        <w:jc w:val="both"/>
        <w:textAlignment w:val="auto"/>
        <w:outlineLvl w:val="9"/>
        <w:rPr>
          <w:rFonts w:hint="eastAsia" w:ascii="仿宋_GB2312" w:eastAsia="仿宋_GB2312"/>
          <w:kern w:val="2"/>
          <w:sz w:val="32"/>
          <w:szCs w:val="32"/>
          <w:shd w:val="clear" w:color="auto" w:fill="FFFFFF"/>
        </w:rPr>
      </w:pPr>
      <w:r>
        <w:rPr>
          <w:rFonts w:hint="eastAsia" w:ascii="黑体" w:hAnsi="黑体" w:eastAsia="黑体" w:cs="Times New Roman"/>
          <w:kern w:val="2"/>
          <w:sz w:val="32"/>
          <w:szCs w:val="32"/>
          <w:shd w:val="clear" w:color="auto" w:fill="FFFFFF"/>
        </w:rPr>
        <w:t>第十六条</w:t>
      </w:r>
      <w:r>
        <w:rPr>
          <w:rFonts w:hint="eastAsia" w:ascii="仿宋_GB2312" w:hAnsi="仿宋_GB2312" w:eastAsia="仿宋_GB2312" w:cs="仿宋_GB2312"/>
          <w:kern w:val="2"/>
          <w:sz w:val="32"/>
          <w:szCs w:val="32"/>
        </w:rPr>
        <w:t xml:space="preserve">  </w:t>
      </w:r>
      <w:r>
        <w:rPr>
          <w:rFonts w:hint="eastAsia" w:ascii="仿宋_GB2312" w:eastAsia="仿宋_GB2312"/>
          <w:kern w:val="2"/>
          <w:sz w:val="32"/>
          <w:szCs w:val="32"/>
          <w:shd w:val="clear" w:color="auto" w:fill="FFFFFF"/>
        </w:rPr>
        <w:t>省人民政府信息化行政主管部门会同相关部门制定公共数据资源分级分类管理办法，依法建立健全公共数据采集制度。</w:t>
      </w:r>
    </w:p>
    <w:p>
      <w:pPr>
        <w:pStyle w:val="10"/>
        <w:keepNext w:val="0"/>
        <w:keepLines w:val="0"/>
        <w:pageBreakBefore w:val="0"/>
        <w:kinsoku/>
        <w:wordWrap/>
        <w:overflowPunct/>
        <w:topLinePunct w:val="0"/>
        <w:bidi w:val="0"/>
        <w:adjustRightInd/>
        <w:spacing w:before="0" w:beforeAutospacing="0" w:after="0" w:afterAutospacing="0" w:line="592" w:lineRule="exact"/>
        <w:ind w:left="0" w:leftChars="0" w:right="0" w:rightChars="0" w:firstLine="710" w:firstLineChars="200"/>
        <w:jc w:val="both"/>
        <w:textAlignment w:val="auto"/>
        <w:outlineLvl w:val="9"/>
        <w:rPr>
          <w:rFonts w:hint="eastAsia" w:ascii="仿宋_GB2312" w:hAnsi="仿宋_GB2312" w:eastAsia="仿宋_GB2312" w:cs="仿宋_GB2312"/>
          <w:kern w:val="2"/>
          <w:sz w:val="32"/>
          <w:szCs w:val="32"/>
        </w:rPr>
      </w:pPr>
      <w:r>
        <w:rPr>
          <w:rFonts w:hint="eastAsia" w:ascii="黑体" w:hAnsi="黑体" w:eastAsia="黑体" w:cs="Times New Roman"/>
          <w:kern w:val="2"/>
          <w:sz w:val="32"/>
          <w:szCs w:val="32"/>
          <w:shd w:val="clear" w:color="auto" w:fill="FFFFFF"/>
        </w:rPr>
        <w:t>第十七条</w:t>
      </w:r>
      <w:r>
        <w:rPr>
          <w:rFonts w:hint="eastAsia" w:ascii="仿宋_GB2312" w:hAnsi="黑体" w:eastAsia="仿宋_GB2312" w:cs="黑体"/>
          <w:w w:val="99"/>
          <w:sz w:val="32"/>
          <w:szCs w:val="32"/>
          <w:shd w:val="clear" w:color="auto" w:fill="FFFFFF"/>
        </w:rPr>
        <w:t xml:space="preserve">  </w:t>
      </w:r>
      <w:r>
        <w:rPr>
          <w:rFonts w:hint="eastAsia" w:ascii="仿宋_GB2312" w:hAnsi="仿宋_GB2312" w:eastAsia="仿宋_GB2312" w:cs="仿宋_GB2312"/>
          <w:kern w:val="2"/>
          <w:sz w:val="32"/>
          <w:szCs w:val="32"/>
        </w:rPr>
        <w:t>任何单位或者个人不得非法采集涉及国家利益、公共安全、商业秘密、个人隐私、军工科研生产等数据，采集数据不得损害被采集人的合法权益。</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通过公共平台可以获得的共享数据，公共机构不得向相关单位和个人重复采集，上级部门和单位不得要求下级部门和单位重复上报，法律法规另有规定的除外。</w:t>
      </w:r>
    </w:p>
    <w:p>
      <w:pPr>
        <w:pStyle w:val="10"/>
        <w:keepNext w:val="0"/>
        <w:keepLines w:val="0"/>
        <w:pageBreakBefore w:val="0"/>
        <w:kinsoku/>
        <w:wordWrap/>
        <w:overflowPunct/>
        <w:topLinePunct w:val="0"/>
        <w:bidi w:val="0"/>
        <w:adjustRightInd/>
        <w:snapToGrid w:val="0"/>
        <w:spacing w:before="0" w:beforeAutospacing="0" w:after="0" w:afterAutospacing="0" w:line="592" w:lineRule="exact"/>
        <w:ind w:left="0" w:leftChars="0" w:right="0" w:rightChars="0" w:firstLine="710" w:firstLineChars="200"/>
        <w:jc w:val="both"/>
        <w:textAlignment w:val="auto"/>
        <w:outlineLvl w:val="9"/>
        <w:rPr>
          <w:rFonts w:hint="eastAsia" w:ascii="仿宋_GB2312" w:hAnsi="仿宋" w:eastAsia="仿宋_GB2312" w:cs="仿宋"/>
          <w:sz w:val="32"/>
          <w:szCs w:val="32"/>
        </w:rPr>
      </w:pPr>
      <w:r>
        <w:rPr>
          <w:rFonts w:hint="eastAsia" w:ascii="黑体" w:hAnsi="黑体" w:eastAsia="黑体" w:cs="Times New Roman"/>
          <w:kern w:val="2"/>
          <w:sz w:val="32"/>
          <w:szCs w:val="32"/>
          <w:shd w:val="clear" w:color="auto" w:fill="FFFFFF"/>
        </w:rPr>
        <w:t>第十八条</w:t>
      </w:r>
      <w:r>
        <w:rPr>
          <w:rFonts w:hint="eastAsia" w:ascii="仿宋_GB2312" w:hAnsi="黑体" w:eastAsia="仿宋_GB2312" w:cs="黑体"/>
          <w:sz w:val="32"/>
          <w:szCs w:val="32"/>
        </w:rPr>
        <w:t xml:space="preserve">  </w:t>
      </w:r>
      <w:r>
        <w:rPr>
          <w:rFonts w:hint="eastAsia" w:ascii="仿宋_GB2312" w:eastAsia="仿宋_GB2312"/>
          <w:sz w:val="32"/>
          <w:szCs w:val="32"/>
        </w:rPr>
        <w:t>培育数据交易市场，规范交易行为。</w:t>
      </w:r>
      <w:r>
        <w:rPr>
          <w:rFonts w:hint="eastAsia" w:ascii="仿宋_GB2312" w:hAnsi="仿宋_GB2312" w:eastAsia="仿宋_GB2312" w:cs="仿宋_GB2312"/>
          <w:kern w:val="2"/>
          <w:sz w:val="32"/>
          <w:szCs w:val="32"/>
        </w:rPr>
        <w:t>数据资源交易应当遵循自愿、公平和诚实信用原则，遵守法律法规，尊重社会公德，不得损害国家利益、社会公共利益和他人合法权益。</w:t>
      </w:r>
      <w:bookmarkStart w:id="0" w:name="_Toc6695"/>
      <w:bookmarkStart w:id="1" w:name="_Toc16712"/>
      <w:bookmarkStart w:id="2" w:name="_Toc3374"/>
    </w:p>
    <w:p>
      <w:pPr>
        <w:pStyle w:val="10"/>
        <w:keepNext w:val="0"/>
        <w:keepLines w:val="0"/>
        <w:pageBreakBefore w:val="0"/>
        <w:kinsoku/>
        <w:wordWrap/>
        <w:overflowPunct/>
        <w:topLinePunct w:val="0"/>
        <w:bidi w:val="0"/>
        <w:adjustRightInd/>
        <w:spacing w:before="0" w:beforeAutospacing="0" w:after="0" w:afterAutospacing="0" w:line="592" w:lineRule="exact"/>
        <w:ind w:left="0" w:leftChars="0" w:right="0" w:rightChars="0" w:firstLine="710" w:firstLineChars="200"/>
        <w:jc w:val="both"/>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数据交易应当依法订立合同，明确数据质量、交易价格、提交方式、数据用途等内容。推行数据交易合同示范文本。</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hAnsi="仿宋" w:eastAsia="仿宋_GB2312" w:cs="仿宋"/>
          <w:kern w:val="0"/>
          <w:sz w:val="32"/>
          <w:szCs w:val="32"/>
        </w:rPr>
      </w:pPr>
      <w:r>
        <w:rPr>
          <w:rFonts w:hint="eastAsia" w:ascii="黑体" w:hAnsi="黑体" w:eastAsia="黑体"/>
          <w:sz w:val="32"/>
          <w:szCs w:val="32"/>
          <w:shd w:val="clear" w:color="auto" w:fill="FFFFFF"/>
        </w:rPr>
        <w:t>第十九条</w:t>
      </w:r>
      <w:r>
        <w:rPr>
          <w:rFonts w:hint="eastAsia" w:ascii="仿宋_GB2312" w:hAnsi="黑体" w:eastAsia="仿宋_GB2312" w:cs="黑体"/>
          <w:kern w:val="0"/>
          <w:sz w:val="32"/>
          <w:szCs w:val="32"/>
        </w:rPr>
        <w:t xml:space="preserve">  </w:t>
      </w:r>
      <w:r>
        <w:rPr>
          <w:rFonts w:hint="eastAsia" w:ascii="仿宋_GB2312" w:hAnsi="仿宋" w:eastAsia="仿宋_GB2312" w:cs="仿宋"/>
          <w:kern w:val="0"/>
          <w:sz w:val="32"/>
          <w:szCs w:val="32"/>
        </w:rPr>
        <w:t>鼓励和引导数据交易当事人在依法设立的数据交易服务机构进行数据交易。</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eastAsia="仿宋_GB2312"/>
          <w:sz w:val="32"/>
          <w:szCs w:val="32"/>
          <w:shd w:val="clear" w:color="auto" w:fill="FFFFFF"/>
        </w:rPr>
      </w:pPr>
      <w:r>
        <w:rPr>
          <w:rFonts w:hint="eastAsia" w:ascii="仿宋_GB2312" w:hAnsi="仿宋" w:eastAsia="仿宋_GB2312" w:cs="仿宋"/>
          <w:sz w:val="32"/>
          <w:szCs w:val="32"/>
        </w:rPr>
        <w:t>数据交易服务机构应当具备与开展数据交易服务相适应的条件，配备相关人员，制定数据交易规则、数据交易备案登记等管理制度，</w:t>
      </w:r>
      <w:r>
        <w:rPr>
          <w:rFonts w:hint="eastAsia" w:ascii="仿宋_GB2312" w:hAnsi="仿宋" w:eastAsia="仿宋_GB2312" w:cs="仿宋"/>
          <w:kern w:val="0"/>
          <w:sz w:val="32"/>
          <w:szCs w:val="32"/>
        </w:rPr>
        <w:t>依法提供交易服务</w:t>
      </w:r>
      <w:bookmarkEnd w:id="0"/>
      <w:bookmarkEnd w:id="1"/>
      <w:bookmarkEnd w:id="2"/>
      <w:r>
        <w:rPr>
          <w:rFonts w:hint="eastAsia" w:ascii="仿宋_GB2312" w:hAnsi="仿宋" w:eastAsia="仿宋_GB2312" w:cs="仿宋"/>
          <w:kern w:val="0"/>
          <w:sz w:val="32"/>
          <w:szCs w:val="32"/>
        </w:rPr>
        <w:t>。</w:t>
      </w:r>
    </w:p>
    <w:p>
      <w:pPr>
        <w:pStyle w:val="10"/>
        <w:keepNext w:val="0"/>
        <w:keepLines w:val="0"/>
        <w:pageBreakBefore w:val="0"/>
        <w:kinsoku/>
        <w:wordWrap/>
        <w:overflowPunct/>
        <w:topLinePunct w:val="0"/>
        <w:bidi w:val="0"/>
        <w:adjustRightInd/>
        <w:spacing w:before="0" w:beforeAutospacing="0" w:after="0" w:afterAutospacing="0" w:line="592" w:lineRule="exact"/>
        <w:ind w:left="0" w:leftChars="0" w:right="0" w:rightChars="0" w:firstLine="710" w:firstLineChars="200"/>
        <w:jc w:val="both"/>
        <w:textAlignment w:val="auto"/>
        <w:outlineLvl w:val="9"/>
        <w:rPr>
          <w:rFonts w:hint="eastAsia" w:ascii="仿宋_GB2312" w:hAnsi="仿宋_GB2312" w:eastAsia="仿宋_GB2312" w:cs="仿宋_GB2312"/>
          <w:kern w:val="2"/>
          <w:sz w:val="32"/>
          <w:szCs w:val="32"/>
        </w:rPr>
      </w:pPr>
      <w:r>
        <w:rPr>
          <w:rFonts w:hint="eastAsia" w:ascii="黑体" w:hAnsi="黑体" w:eastAsia="黑体" w:cs="Times New Roman"/>
          <w:kern w:val="2"/>
          <w:sz w:val="32"/>
          <w:szCs w:val="32"/>
          <w:shd w:val="clear" w:color="auto" w:fill="FFFFFF"/>
        </w:rPr>
        <w:t>第二十条</w:t>
      </w:r>
      <w:r>
        <w:rPr>
          <w:rFonts w:hint="eastAsia" w:ascii="仿宋_GB2312" w:hAnsi="黑体" w:eastAsia="仿宋_GB2312" w:cs="黑体"/>
          <w:sz w:val="32"/>
          <w:szCs w:val="32"/>
        </w:rPr>
        <w:t xml:space="preserve">  </w:t>
      </w:r>
      <w:r>
        <w:rPr>
          <w:rFonts w:hint="eastAsia" w:ascii="仿宋_GB2312" w:hAnsi="仿宋_GB2312" w:eastAsia="仿宋_GB2312" w:cs="仿宋_GB2312"/>
          <w:kern w:val="2"/>
          <w:sz w:val="32"/>
          <w:szCs w:val="32"/>
        </w:rPr>
        <w:t>县级以上人民政府应当加强社会治理大数据应用，推动简政放权，提升宏观调控、市场监管与公共服务等决策、管理、服务能力。</w:t>
      </w:r>
    </w:p>
    <w:p>
      <w:pPr>
        <w:pStyle w:val="10"/>
        <w:keepNext w:val="0"/>
        <w:keepLines w:val="0"/>
        <w:pageBreakBefore w:val="0"/>
        <w:kinsoku/>
        <w:wordWrap/>
        <w:overflowPunct/>
        <w:topLinePunct w:val="0"/>
        <w:bidi w:val="0"/>
        <w:adjustRightInd/>
        <w:spacing w:before="0" w:beforeAutospacing="0" w:after="0" w:afterAutospacing="0" w:line="592" w:lineRule="exact"/>
        <w:ind w:left="0" w:leftChars="0" w:right="0" w:rightChars="0" w:firstLine="710"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实施“数据铁笼”，规范权力行使，对公共权力、公</w:t>
      </w:r>
    </w:p>
    <w:p>
      <w:pPr>
        <w:pStyle w:val="10"/>
        <w:keepNext w:val="0"/>
        <w:keepLines w:val="0"/>
        <w:pageBreakBefore w:val="0"/>
        <w:kinsoku/>
        <w:wordWrap/>
        <w:overflowPunct/>
        <w:topLinePunct w:val="0"/>
        <w:bidi w:val="0"/>
        <w:adjustRightInd/>
        <w:spacing w:before="0" w:beforeAutospacing="0" w:after="0" w:afterAutospacing="0" w:line="592" w:lineRule="exact"/>
        <w:ind w:right="0" w:rightChars="0"/>
        <w:jc w:val="both"/>
        <w:textAlignment w:val="auto"/>
        <w:outlineLvl w:val="9"/>
        <w:rPr>
          <w:rFonts w:hint="eastAsia" w:ascii="仿宋_GB2312" w:hAnsi="仿宋_GB2312" w:eastAsia="仿宋_GB2312" w:cs="仿宋_GB2312"/>
          <w:kern w:val="2"/>
          <w:sz w:val="32"/>
          <w:szCs w:val="32"/>
        </w:rPr>
      </w:pPr>
      <w:r>
        <w:rPr>
          <w:rFonts w:hint="eastAsia" w:ascii="仿宋_GB2312" w:eastAsia="仿宋_GB2312"/>
          <w:sz w:val="32"/>
          <w:szCs w:val="32"/>
        </w:rPr>
        <w:t>共资源交易、公共资金等实行全过程监督。</w:t>
      </w:r>
    </w:p>
    <w:p>
      <w:pPr>
        <w:pStyle w:val="10"/>
        <w:keepNext w:val="0"/>
        <w:keepLines w:val="0"/>
        <w:pageBreakBefore w:val="0"/>
        <w:kinsoku/>
        <w:wordWrap/>
        <w:overflowPunct/>
        <w:topLinePunct w:val="0"/>
        <w:bidi w:val="0"/>
        <w:adjustRightInd/>
        <w:snapToGrid w:val="0"/>
        <w:spacing w:before="0" w:beforeAutospacing="0" w:after="0" w:afterAutospacing="0" w:line="592" w:lineRule="exact"/>
        <w:ind w:left="0" w:leftChars="0" w:right="0" w:rightChars="0" w:firstLine="710" w:firstLineChars="200"/>
        <w:jc w:val="both"/>
        <w:textAlignment w:val="auto"/>
        <w:outlineLvl w:val="9"/>
        <w:rPr>
          <w:rFonts w:hint="eastAsia" w:ascii="仿宋_GB2312" w:hAnsi="仿宋_GB2312" w:eastAsia="仿宋_GB2312" w:cs="仿宋_GB2312"/>
          <w:kern w:val="2"/>
          <w:sz w:val="32"/>
          <w:szCs w:val="32"/>
          <w:shd w:val="clear" w:color="auto" w:fill="FFFFFF"/>
        </w:rPr>
      </w:pPr>
      <w:r>
        <w:rPr>
          <w:rFonts w:hint="eastAsia" w:ascii="黑体" w:hAnsi="黑体" w:eastAsia="黑体" w:cs="Times New Roman"/>
          <w:kern w:val="2"/>
          <w:sz w:val="32"/>
          <w:szCs w:val="32"/>
          <w:shd w:val="clear" w:color="auto" w:fill="FFFFFF"/>
        </w:rPr>
        <w:t>第二十一条</w:t>
      </w:r>
      <w:r>
        <w:rPr>
          <w:rFonts w:hint="eastAsia" w:ascii="仿宋_GB2312" w:hAnsi="黑体" w:eastAsia="仿宋_GB2312" w:cs="黑体"/>
          <w:sz w:val="32"/>
          <w:szCs w:val="32"/>
        </w:rPr>
        <w:t xml:space="preserve">  </w:t>
      </w:r>
      <w:r>
        <w:rPr>
          <w:rFonts w:hint="eastAsia" w:ascii="仿宋_GB2312" w:hAnsi="仿宋_GB2312" w:eastAsia="仿宋_GB2312" w:cs="仿宋_GB2312"/>
          <w:kern w:val="2"/>
          <w:sz w:val="32"/>
          <w:szCs w:val="32"/>
        </w:rPr>
        <w:t>县级以上人民政府应当</w:t>
      </w:r>
      <w:r>
        <w:rPr>
          <w:rFonts w:hint="eastAsia" w:ascii="仿宋_GB2312" w:hAnsi="仿宋_GB2312" w:eastAsia="仿宋_GB2312" w:cs="仿宋_GB2312"/>
          <w:kern w:val="2"/>
          <w:sz w:val="32"/>
          <w:szCs w:val="32"/>
          <w:shd w:val="clear" w:color="auto" w:fill="FFFFFF"/>
        </w:rPr>
        <w:t>推进信息化与农业、工业、服务业等产业深度融合，推动现代山地特色高效农业、大健康、旅游、新型建筑材料等领域大数据应用，提升相关产业大数据资源的分析应用能力，培育互联网金融、大数据处理分析等新业态，推动产业转型升级。</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shd w:val="clear" w:color="auto" w:fill="FFFFFF"/>
        </w:rPr>
        <w:t>第二十二条</w:t>
      </w:r>
      <w:r>
        <w:rPr>
          <w:rFonts w:hint="eastAsia" w:ascii="仿宋_GB2312" w:hAnsi="仿宋_GB2312" w:eastAsia="仿宋_GB2312" w:cs="仿宋_GB2312"/>
          <w:sz w:val="32"/>
          <w:szCs w:val="32"/>
        </w:rPr>
        <w:t xml:space="preserve">  县级以上人民政府应当在社会保障、公共安全、人居环境、劳动就业、文化教育、交通运输、综合治税、消费维权等领域开展大数据应用，优化公共资源配置，提高公共服务水平。</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eastAsia="仿宋_GB2312"/>
          <w:sz w:val="32"/>
          <w:szCs w:val="32"/>
        </w:rPr>
      </w:pPr>
      <w:r>
        <w:rPr>
          <w:rFonts w:hint="eastAsia" w:ascii="仿宋_GB2312" w:eastAsia="仿宋_GB2312"/>
          <w:sz w:val="32"/>
          <w:szCs w:val="32"/>
        </w:rPr>
        <w:t>推进大数据精准扶贫，建设涉农数据交换与共享平台，实现涉农基本数据动态化、数字化、常态化精准管理。</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sz w:val="32"/>
          <w:szCs w:val="32"/>
          <w:shd w:val="clear" w:color="auto" w:fill="FFFFFF"/>
        </w:rPr>
        <w:t>第二十三条</w:t>
      </w:r>
      <w:r>
        <w:rPr>
          <w:rFonts w:hint="eastAsia" w:ascii="仿宋_GB2312" w:hAnsi="黑体" w:eastAsia="仿宋_GB2312" w:cs="黑体"/>
          <w:sz w:val="32"/>
          <w:szCs w:val="32"/>
        </w:rPr>
        <w:t xml:space="preserve">  </w:t>
      </w:r>
      <w:r>
        <w:rPr>
          <w:rFonts w:hint="eastAsia" w:ascii="仿宋_GB2312" w:hAnsi="仿宋_GB2312" w:eastAsia="仿宋_GB2312" w:cs="仿宋_GB2312"/>
          <w:sz w:val="32"/>
          <w:szCs w:val="32"/>
          <w:shd w:val="clear" w:color="auto" w:fill="FFFFFF"/>
        </w:rPr>
        <w:t>县级以上人民政府应当积极支持大数据关键技术、解决方案、重点产品、配套服务、商业模式创新和应用研究，培养大数据骨干企业，推动大众创业、万众创新。</w:t>
      </w:r>
    </w:p>
    <w:p>
      <w:pPr>
        <w:keepNext w:val="0"/>
        <w:keepLines w:val="0"/>
        <w:pageBreakBefore w:val="0"/>
        <w:kinsoku/>
        <w:wordWrap/>
        <w:overflowPunct/>
        <w:topLinePunct w:val="0"/>
        <w:bidi w:val="0"/>
        <w:adjustRightInd/>
        <w:spacing w:line="592" w:lineRule="exact"/>
        <w:ind w:left="0" w:leftChars="0" w:right="0" w:rightChars="0"/>
        <w:textAlignment w:val="auto"/>
        <w:outlineLvl w:val="9"/>
        <w:rPr>
          <w:rFonts w:hint="eastAsia" w:ascii="黑体" w:hAnsi="黑体" w:eastAsia="黑体"/>
          <w:sz w:val="32"/>
          <w:szCs w:val="32"/>
          <w:shd w:val="clear" w:color="auto" w:fill="FFFFFF"/>
        </w:rPr>
      </w:pPr>
    </w:p>
    <w:p>
      <w:pPr>
        <w:keepNext w:val="0"/>
        <w:keepLines w:val="0"/>
        <w:pageBreakBefore w:val="0"/>
        <w:kinsoku/>
        <w:wordWrap/>
        <w:overflowPunct/>
        <w:topLinePunct w:val="0"/>
        <w:bidi w:val="0"/>
        <w:adjustRightInd/>
        <w:spacing w:line="592" w:lineRule="exact"/>
        <w:ind w:left="0" w:leftChars="0" w:right="0" w:rightChars="0"/>
        <w:jc w:val="center"/>
        <w:textAlignment w:val="auto"/>
        <w:outlineLvl w:val="9"/>
        <w:rPr>
          <w:rFonts w:hint="eastAsia" w:ascii="黑体" w:hAnsi="黑体" w:eastAsia="黑体"/>
          <w:sz w:val="32"/>
          <w:szCs w:val="32"/>
          <w:shd w:val="clear" w:color="auto" w:fill="FFFFFF"/>
        </w:rPr>
      </w:pPr>
      <w:r>
        <w:rPr>
          <w:rFonts w:hint="eastAsia" w:ascii="黑体" w:hAnsi="黑体" w:eastAsia="黑体"/>
          <w:sz w:val="32"/>
          <w:szCs w:val="32"/>
          <w:shd w:val="clear" w:color="auto" w:fill="FFFFFF"/>
        </w:rPr>
        <w:t>第三章  共享开放</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黑体" w:hAnsi="黑体" w:eastAsia="黑体"/>
          <w:sz w:val="32"/>
          <w:szCs w:val="32"/>
          <w:shd w:val="clear" w:color="auto" w:fill="FFFFFF"/>
        </w:rPr>
      </w:pP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hAnsi="仿宋" w:eastAsia="仿宋_GB2312" w:cs="仿宋"/>
          <w:spacing w:val="-4"/>
          <w:sz w:val="32"/>
          <w:szCs w:val="32"/>
        </w:rPr>
      </w:pPr>
      <w:r>
        <w:rPr>
          <w:rFonts w:hint="eastAsia" w:ascii="黑体" w:hAnsi="黑体" w:eastAsia="黑体"/>
          <w:sz w:val="32"/>
          <w:szCs w:val="32"/>
          <w:shd w:val="clear" w:color="auto" w:fill="FFFFFF"/>
        </w:rPr>
        <w:t>第二十四条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省人民政府按照统一标准、依法管理，</w:t>
      </w:r>
      <w:r>
        <w:rPr>
          <w:rFonts w:hint="eastAsia" w:ascii="仿宋_GB2312" w:hAnsi="仿宋" w:eastAsia="仿宋_GB2312" w:cs="仿宋"/>
          <w:spacing w:val="-4"/>
          <w:sz w:val="32"/>
          <w:szCs w:val="32"/>
        </w:rPr>
        <w:t>主动提供、无偿服务，便捷高效、安全可靠的原则，制定全省公共数据共享开放措施，推动公共数据率先共享开放。</w:t>
      </w:r>
    </w:p>
    <w:p>
      <w:pPr>
        <w:pStyle w:val="10"/>
        <w:keepNext w:val="0"/>
        <w:keepLines w:val="0"/>
        <w:pageBreakBefore w:val="0"/>
        <w:kinsoku/>
        <w:wordWrap/>
        <w:overflowPunct/>
        <w:topLinePunct w:val="0"/>
        <w:bidi w:val="0"/>
        <w:adjustRightInd/>
        <w:snapToGrid w:val="0"/>
        <w:spacing w:before="0" w:beforeAutospacing="0" w:after="0" w:afterAutospacing="0" w:line="592" w:lineRule="exact"/>
        <w:ind w:left="0" w:leftChars="0" w:right="0" w:rightChars="0" w:firstLine="710" w:firstLineChars="200"/>
        <w:jc w:val="both"/>
        <w:textAlignment w:val="auto"/>
        <w:outlineLvl w:val="9"/>
        <w:rPr>
          <w:rFonts w:hint="eastAsia" w:ascii="仿宋_GB2312" w:hAnsi="仿宋" w:eastAsia="仿宋_GB2312" w:cs="仿宋"/>
          <w:sz w:val="32"/>
          <w:szCs w:val="32"/>
        </w:rPr>
      </w:pPr>
      <w:r>
        <w:rPr>
          <w:rFonts w:hint="eastAsia" w:ascii="黑体" w:hAnsi="黑体" w:eastAsia="黑体" w:cs="Times New Roman"/>
          <w:kern w:val="2"/>
          <w:sz w:val="32"/>
          <w:szCs w:val="32"/>
          <w:shd w:val="clear" w:color="auto" w:fill="FFFFFF"/>
        </w:rPr>
        <w:t>第二十五条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数据共享开放，应当维护国家安全和社会公共安全，保守国家秘密、商业秘密，保护个人隐私，保护数据权益人的合法权益。任何单位和个人不得利用数据共享开放从事违法犯罪活动。</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hAnsi="仿宋_GB2312" w:eastAsia="仿宋_GB2312" w:cs="仿宋_GB2312"/>
          <w:sz w:val="32"/>
          <w:szCs w:val="32"/>
        </w:rPr>
      </w:pPr>
      <w:r>
        <w:rPr>
          <w:rFonts w:hint="eastAsia" w:ascii="黑体" w:hAnsi="黑体" w:eastAsia="黑体"/>
          <w:sz w:val="32"/>
          <w:szCs w:val="32"/>
          <w:shd w:val="clear" w:color="auto" w:fill="FFFFFF"/>
        </w:rPr>
        <w:t>第二十六条</w:t>
      </w:r>
      <w:r>
        <w:rPr>
          <w:rFonts w:hint="eastAsia" w:ascii="仿宋_GB2312" w:hAnsi="黑体" w:eastAsia="仿宋_GB2312" w:cs="黑体"/>
          <w:w w:val="99"/>
          <w:kern w:val="0"/>
          <w:sz w:val="32"/>
          <w:szCs w:val="32"/>
          <w:shd w:val="clear" w:color="auto" w:fill="FFFFFF"/>
        </w:rPr>
        <w:t xml:space="preserve">  </w:t>
      </w:r>
      <w:r>
        <w:rPr>
          <w:rFonts w:hint="eastAsia" w:ascii="仿宋_GB2312" w:hAnsi="仿宋" w:eastAsia="仿宋_GB2312" w:cs="仿宋"/>
          <w:sz w:val="32"/>
          <w:szCs w:val="32"/>
        </w:rPr>
        <w:t>全省</w:t>
      </w:r>
      <w:r>
        <w:rPr>
          <w:rFonts w:hint="eastAsia" w:ascii="仿宋_GB2312" w:hAnsi="仿宋_GB2312" w:eastAsia="仿宋_GB2312" w:cs="仿宋_GB2312"/>
          <w:sz w:val="32"/>
          <w:szCs w:val="32"/>
        </w:rPr>
        <w:t>统一的大数据平台（以下简称“云上贵州”）汇集、存储、共享、开放全省公共数据及其他数据。</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hAnsi="仿宋_GB2312" w:eastAsia="仿宋_GB2312" w:cs="仿宋_GB2312"/>
          <w:sz w:val="32"/>
          <w:szCs w:val="32"/>
        </w:rPr>
      </w:pPr>
      <w:r>
        <w:rPr>
          <w:rFonts w:hint="eastAsia" w:ascii="仿宋_GB2312" w:hAnsi="仿宋" w:eastAsia="仿宋_GB2312" w:cs="仿宋"/>
          <w:sz w:val="32"/>
          <w:szCs w:val="32"/>
        </w:rPr>
        <w:t>除法律法规另有规定外，</w:t>
      </w:r>
      <w:r>
        <w:rPr>
          <w:rFonts w:hint="eastAsia" w:ascii="仿宋_GB2312" w:hAnsi="仿宋_GB2312" w:eastAsia="仿宋_GB2312" w:cs="仿宋_GB2312"/>
          <w:sz w:val="32"/>
          <w:szCs w:val="32"/>
        </w:rPr>
        <w:t>公共机构信息系统应当</w:t>
      </w:r>
      <w:r>
        <w:rPr>
          <w:rFonts w:hint="eastAsia" w:ascii="仿宋_GB2312" w:hAnsi="仿宋_GB2312" w:eastAsia="仿宋_GB2312" w:cs="仿宋_GB2312"/>
          <w:w w:val="97"/>
          <w:sz w:val="32"/>
          <w:szCs w:val="32"/>
        </w:rPr>
        <w:t>向“云上贵州”迁移，</w:t>
      </w:r>
      <w:r>
        <w:rPr>
          <w:rFonts w:hint="eastAsia" w:ascii="仿宋_GB2312" w:hAnsi="仿宋" w:eastAsia="仿宋_GB2312" w:cs="仿宋"/>
          <w:sz w:val="32"/>
          <w:szCs w:val="32"/>
        </w:rPr>
        <w:t>公</w:t>
      </w:r>
      <w:r>
        <w:rPr>
          <w:rFonts w:hint="eastAsia" w:ascii="仿宋_GB2312" w:hAnsi="仿宋_GB2312" w:eastAsia="仿宋_GB2312" w:cs="仿宋_GB2312"/>
          <w:sz w:val="32"/>
          <w:szCs w:val="32"/>
        </w:rPr>
        <w:t>共数据应当汇集、存储在“云上贵州”并与其他公共机构共享。</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鼓励其他信息系统向“云上贵州”迁移，其他数据汇集、存储在“云上贵州”并与他人共享、向社会开放。</w:t>
      </w:r>
    </w:p>
    <w:p>
      <w:pPr>
        <w:pStyle w:val="10"/>
        <w:keepNext w:val="0"/>
        <w:keepLines w:val="0"/>
        <w:pageBreakBefore w:val="0"/>
        <w:kinsoku/>
        <w:wordWrap/>
        <w:overflowPunct/>
        <w:topLinePunct w:val="0"/>
        <w:bidi w:val="0"/>
        <w:adjustRightInd/>
        <w:spacing w:before="0" w:beforeAutospacing="0" w:after="0" w:afterAutospacing="0" w:line="592" w:lineRule="exact"/>
        <w:ind w:left="0" w:leftChars="0" w:right="0" w:rightChars="0" w:firstLine="710" w:firstLineChars="200"/>
        <w:jc w:val="both"/>
        <w:textAlignment w:val="auto"/>
        <w:outlineLvl w:val="9"/>
        <w:rPr>
          <w:rFonts w:hint="eastAsia" w:ascii="仿宋_GB2312" w:hAnsi="仿宋_GB2312" w:eastAsia="仿宋_GB2312" w:cs="仿宋_GB2312"/>
          <w:w w:val="97"/>
          <w:kern w:val="2"/>
          <w:sz w:val="32"/>
          <w:szCs w:val="32"/>
        </w:rPr>
      </w:pPr>
      <w:r>
        <w:rPr>
          <w:rFonts w:hint="eastAsia" w:ascii="仿宋_GB2312" w:hAnsi="仿宋_GB2312" w:eastAsia="仿宋_GB2312" w:cs="仿宋_GB2312"/>
          <w:kern w:val="2"/>
          <w:sz w:val="32"/>
          <w:szCs w:val="32"/>
        </w:rPr>
        <w:t>“云上贵州”管理及公共数据共享开放的具体办法，由省人民政府另行制定。</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hAnsi="仿宋" w:eastAsia="仿宋_GB2312" w:cs="仿宋"/>
          <w:sz w:val="32"/>
          <w:szCs w:val="32"/>
        </w:rPr>
      </w:pPr>
      <w:r>
        <w:rPr>
          <w:rFonts w:hint="eastAsia" w:ascii="黑体" w:hAnsi="黑体" w:eastAsia="黑体"/>
          <w:sz w:val="32"/>
          <w:szCs w:val="32"/>
          <w:shd w:val="clear" w:color="auto" w:fill="FFFFFF"/>
        </w:rPr>
        <w:t>第二十七条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实行公共数据开放负面清单制度。除法律法规另有规定外，公共数据应当向社会开放；依法不能向社会开放的公共数据，目录应当向社会公布。</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依法不能向社会开放的公共数据，涉及特定公民、法人和其他组织重大利益关系的，经申请可以向该特定对象开放。</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hAnsi="仿宋" w:eastAsia="仿宋_GB2312" w:cs="仿宋"/>
          <w:sz w:val="32"/>
          <w:szCs w:val="32"/>
        </w:rPr>
      </w:pPr>
      <w:r>
        <w:rPr>
          <w:rFonts w:hint="eastAsia" w:ascii="黑体" w:hAnsi="黑体" w:eastAsia="黑体"/>
          <w:sz w:val="32"/>
          <w:szCs w:val="32"/>
          <w:shd w:val="clear" w:color="auto" w:fill="FFFFFF"/>
        </w:rPr>
        <w:t>第二十八条</w:t>
      </w:r>
      <w:r>
        <w:rPr>
          <w:rFonts w:hint="eastAsia" w:ascii="仿宋_GB2312" w:hAnsi="黑体" w:eastAsia="仿宋_GB2312" w:cs="黑体"/>
          <w:sz w:val="32"/>
          <w:szCs w:val="32"/>
        </w:rPr>
        <w:t xml:space="preserve">  </w:t>
      </w:r>
      <w:r>
        <w:rPr>
          <w:rFonts w:hint="eastAsia" w:ascii="仿宋_GB2312" w:hAnsi="Geneva" w:eastAsia="仿宋_GB2312" w:cs="仿宋_GB2312"/>
          <w:sz w:val="32"/>
          <w:szCs w:val="32"/>
        </w:rPr>
        <w:t>公共数据共享开放，应当符合统一的格式标准，</w:t>
      </w:r>
      <w:r>
        <w:rPr>
          <w:rFonts w:hint="eastAsia" w:ascii="仿宋_GB2312" w:hAnsi="仿宋" w:eastAsia="仿宋_GB2312" w:cs="仿宋"/>
          <w:sz w:val="32"/>
          <w:szCs w:val="32"/>
        </w:rPr>
        <w:t>内容应当</w:t>
      </w:r>
      <w:r>
        <w:rPr>
          <w:rFonts w:hint="eastAsia" w:ascii="仿宋_GB2312" w:hAnsi="Geneva" w:eastAsia="仿宋_GB2312" w:cs="仿宋_GB2312"/>
          <w:sz w:val="32"/>
          <w:szCs w:val="32"/>
        </w:rPr>
        <w:t>真实、准确、完整</w:t>
      </w:r>
      <w:r>
        <w:rPr>
          <w:rFonts w:hint="eastAsia" w:ascii="仿宋_GB2312" w:hAnsi="仿宋" w:eastAsia="仿宋_GB2312" w:cs="仿宋"/>
          <w:sz w:val="32"/>
          <w:szCs w:val="32"/>
        </w:rPr>
        <w:t>。</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hAnsi="Geneva" w:eastAsia="仿宋_GB2312" w:cs="仿宋_GB2312"/>
          <w:sz w:val="32"/>
          <w:szCs w:val="32"/>
        </w:rPr>
      </w:pPr>
      <w:r>
        <w:rPr>
          <w:rFonts w:hint="eastAsia" w:ascii="仿宋_GB2312" w:hAnsi="Geneva" w:eastAsia="仿宋_GB2312" w:cs="仿宋_GB2312"/>
          <w:sz w:val="32"/>
          <w:szCs w:val="32"/>
        </w:rPr>
        <w:t>通过共享开放获取的公共数据，与纸质文书原件具有同等效力。</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hAnsi="Geneva" w:eastAsia="仿宋_GB2312" w:cs="仿宋_GB2312"/>
          <w:sz w:val="32"/>
          <w:szCs w:val="32"/>
        </w:rPr>
      </w:pPr>
      <w:r>
        <w:rPr>
          <w:rFonts w:hint="eastAsia" w:ascii="黑体" w:hAnsi="黑体" w:eastAsia="黑体"/>
          <w:sz w:val="32"/>
          <w:szCs w:val="32"/>
          <w:shd w:val="clear" w:color="auto" w:fill="FFFFFF"/>
        </w:rPr>
        <w:t>第二十九条</w:t>
      </w:r>
      <w:r>
        <w:rPr>
          <w:rFonts w:hint="eastAsia" w:ascii="仿宋_GB2312" w:hAnsi="黑体" w:eastAsia="仿宋_GB2312" w:cs="黑体"/>
          <w:sz w:val="32"/>
          <w:szCs w:val="32"/>
        </w:rPr>
        <w:t xml:space="preserve">  </w:t>
      </w:r>
      <w:r>
        <w:rPr>
          <w:rFonts w:hint="eastAsia" w:ascii="仿宋_GB2312" w:hAnsi="Geneva" w:eastAsia="仿宋_GB2312" w:cs="仿宋_GB2312"/>
          <w:sz w:val="32"/>
          <w:szCs w:val="32"/>
        </w:rPr>
        <w:t>实行公共数据共享开放风险评估制度。提供公共数据的单位应当按照法律法规和保密、安全管理等规定，对公共数据进行风险评估，保证共享开放数据安全。</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“云上贵州”管理机构应当对通过该平台共享开放的公共数据进行风险审核，发现可能存在风险时，应当及时告知提供单位；提供单位应当及时处理并予以反馈。</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hAnsi="仿宋" w:eastAsia="仿宋_GB2312" w:cs="仿宋"/>
          <w:sz w:val="32"/>
          <w:szCs w:val="32"/>
        </w:rPr>
      </w:pPr>
      <w:r>
        <w:rPr>
          <w:rFonts w:hint="eastAsia" w:ascii="黑体" w:hAnsi="黑体" w:eastAsia="黑体"/>
          <w:sz w:val="32"/>
          <w:szCs w:val="32"/>
          <w:shd w:val="clear" w:color="auto" w:fill="FFFFFF"/>
        </w:rPr>
        <w:t>第三十条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鼓励单位和个人对共享开放的数据进行分析、挖掘、研究，开展大数据开发和创新应用。</w:t>
      </w:r>
    </w:p>
    <w:p>
      <w:pPr>
        <w:keepNext w:val="0"/>
        <w:keepLines w:val="0"/>
        <w:pageBreakBefore w:val="0"/>
        <w:kinsoku/>
        <w:wordWrap/>
        <w:overflowPunct/>
        <w:topLinePunct w:val="0"/>
        <w:bidi w:val="0"/>
        <w:adjustRightInd/>
        <w:spacing w:line="592" w:lineRule="exact"/>
        <w:ind w:left="0" w:leftChars="0" w:right="0" w:rightChars="0"/>
        <w:textAlignment w:val="auto"/>
        <w:outlineLvl w:val="9"/>
        <w:rPr>
          <w:rFonts w:hint="eastAsia" w:ascii="黑体" w:hAnsi="黑体" w:eastAsia="黑体"/>
          <w:sz w:val="32"/>
          <w:szCs w:val="32"/>
          <w:shd w:val="clear" w:color="auto" w:fill="FFFFFF"/>
        </w:rPr>
      </w:pPr>
    </w:p>
    <w:p>
      <w:pPr>
        <w:keepNext w:val="0"/>
        <w:keepLines w:val="0"/>
        <w:pageBreakBefore w:val="0"/>
        <w:kinsoku/>
        <w:wordWrap/>
        <w:overflowPunct/>
        <w:topLinePunct w:val="0"/>
        <w:bidi w:val="0"/>
        <w:adjustRightInd/>
        <w:spacing w:line="592" w:lineRule="exact"/>
        <w:ind w:left="0" w:leftChars="0" w:right="0" w:rightChars="0"/>
        <w:jc w:val="center"/>
        <w:textAlignment w:val="auto"/>
        <w:outlineLvl w:val="9"/>
        <w:rPr>
          <w:rFonts w:hint="eastAsia" w:ascii="黑体" w:hAnsi="黑体" w:eastAsia="黑体"/>
          <w:sz w:val="32"/>
          <w:szCs w:val="32"/>
          <w:shd w:val="clear" w:color="auto" w:fill="FFFFFF"/>
        </w:rPr>
      </w:pPr>
      <w:r>
        <w:rPr>
          <w:rFonts w:hint="eastAsia" w:ascii="黑体" w:hAnsi="黑体" w:eastAsia="黑体"/>
          <w:sz w:val="32"/>
          <w:szCs w:val="32"/>
          <w:shd w:val="clear" w:color="auto" w:fill="FFFFFF"/>
        </w:rPr>
        <w:t>第四章  安全管理</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黑体" w:hAnsi="黑体" w:eastAsia="黑体"/>
          <w:sz w:val="32"/>
          <w:szCs w:val="32"/>
          <w:shd w:val="clear" w:color="auto" w:fill="FFFFFF"/>
        </w:rPr>
      </w:pP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hAnsi="仿宋" w:eastAsia="仿宋_GB2312"/>
          <w:sz w:val="32"/>
          <w:szCs w:val="32"/>
        </w:rPr>
      </w:pPr>
      <w:r>
        <w:rPr>
          <w:rFonts w:hint="eastAsia" w:ascii="黑体" w:hAnsi="黑体" w:eastAsia="黑体"/>
          <w:sz w:val="32"/>
          <w:szCs w:val="32"/>
          <w:shd w:val="clear" w:color="auto" w:fill="FFFFFF"/>
        </w:rPr>
        <w:t>第三十一条</w:t>
      </w:r>
      <w:r>
        <w:rPr>
          <w:rFonts w:hint="eastAsia" w:ascii="仿宋_GB2312" w:hAnsi="黑体" w:eastAsia="仿宋_GB2312"/>
          <w:sz w:val="32"/>
          <w:szCs w:val="32"/>
        </w:rPr>
        <w:t xml:space="preserve">  </w:t>
      </w:r>
      <w:r>
        <w:rPr>
          <w:rFonts w:hint="eastAsia" w:ascii="仿宋_GB2312" w:hAnsi="仿宋" w:eastAsia="仿宋_GB2312"/>
          <w:sz w:val="32"/>
          <w:szCs w:val="32"/>
        </w:rPr>
        <w:t>省人民政府建立数据安全工作领导协调机制，统筹协调和指导本省数据安全保障和监管工作。</w:t>
      </w:r>
    </w:p>
    <w:p>
      <w:pPr>
        <w:keepNext w:val="0"/>
        <w:keepLines w:val="0"/>
        <w:pageBreakBefore w:val="0"/>
        <w:kinsoku/>
        <w:wordWrap/>
        <w:overflowPunct/>
        <w:topLinePunct w:val="0"/>
        <w:bidi w:val="0"/>
        <w:adjustRightInd/>
        <w:spacing w:line="592" w:lineRule="exact"/>
        <w:ind w:left="0" w:leftChars="0" w:right="0" w:rightChars="0" w:firstLine="71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省大数据安全主管部门会同有关部门制定数据安全等级保护、风险测评、应急防范等安全制度，加强对大数据安全技术、设备和服务提供商的风险评估和安全管理，建立健全大数据安全保障和安全评估体系。</w:t>
      </w:r>
    </w:p>
    <w:p>
      <w:pPr>
        <w:keepNext w:val="0"/>
        <w:keepLines w:val="0"/>
        <w:pageBreakBefore w:val="0"/>
        <w:kinsoku/>
        <w:wordWrap/>
        <w:overflowPunct/>
        <w:topLinePunct w:val="0"/>
        <w:autoSpaceDE w:val="0"/>
        <w:bidi w:val="0"/>
        <w:adjustRightInd/>
        <w:spacing w:line="592" w:lineRule="exact"/>
        <w:ind w:left="0" w:leftChars="0" w:right="0" w:rightChars="0" w:firstLine="710" w:firstLineChars="200"/>
        <w:textAlignment w:val="auto"/>
        <w:outlineLvl w:val="9"/>
        <w:rPr>
          <w:rFonts w:hint="eastAsia" w:ascii="仿宋_GB2312" w:hAnsi="仿宋" w:eastAsia="仿宋_GB2312"/>
          <w:sz w:val="32"/>
          <w:szCs w:val="32"/>
        </w:rPr>
      </w:pPr>
      <w:r>
        <w:rPr>
          <w:rFonts w:hint="eastAsia" w:ascii="黑体" w:hAnsi="黑体" w:eastAsia="黑体"/>
          <w:sz w:val="32"/>
          <w:szCs w:val="32"/>
          <w:shd w:val="clear" w:color="auto" w:fill="FFFFFF"/>
        </w:rPr>
        <w:t>第三十二条</w:t>
      </w:r>
      <w:r>
        <w:rPr>
          <w:rFonts w:hint="eastAsia" w:ascii="仿宋_GB2312" w:hAnsi="仿宋_GB2312" w:eastAsia="仿宋_GB2312" w:cs="仿宋_GB2312"/>
          <w:sz w:val="32"/>
          <w:szCs w:val="32"/>
        </w:rPr>
        <w:t xml:space="preserve">  </w:t>
      </w:r>
      <w:r>
        <w:rPr>
          <w:rFonts w:hint="eastAsia" w:ascii="仿宋_GB2312" w:hAnsi="仿宋" w:eastAsia="仿宋_GB2312"/>
          <w:sz w:val="32"/>
          <w:szCs w:val="32"/>
        </w:rPr>
        <w:t>大数据采集、存储、清洗、开发、应用、交易、服务单位</w:t>
      </w:r>
      <w:r>
        <w:rPr>
          <w:rFonts w:hint="eastAsia" w:ascii="仿宋_GB2312" w:hAnsi="仿宋_GB2312" w:eastAsia="仿宋_GB2312" w:cs="仿宋_GB2312"/>
          <w:sz w:val="32"/>
          <w:szCs w:val="32"/>
        </w:rPr>
        <w:t>应当</w:t>
      </w:r>
      <w:r>
        <w:rPr>
          <w:rFonts w:hint="eastAsia" w:ascii="仿宋_GB2312" w:hAnsi="仿宋" w:eastAsia="仿宋_GB2312"/>
          <w:sz w:val="32"/>
          <w:szCs w:val="32"/>
        </w:rPr>
        <w:t>建立数据安全防护管理制度，制定数据安全应急预案，并定期开展安全评测、风险评估和应急演练；采取安全保护技术措施，防止数据丢失、毁损、泄露和篡改，确保数据安全</w:t>
      </w:r>
      <w:r>
        <w:rPr>
          <w:rFonts w:hint="eastAsia" w:ascii="仿宋_GB2312" w:hAnsi="仿宋" w:eastAsia="仿宋_GB2312"/>
          <w:w w:val="97"/>
          <w:sz w:val="32"/>
          <w:szCs w:val="32"/>
        </w:rPr>
        <w:t>。</w:t>
      </w:r>
      <w:r>
        <w:rPr>
          <w:rFonts w:hint="eastAsia" w:ascii="仿宋_GB2312" w:hAnsi="仿宋" w:eastAsia="仿宋_GB2312"/>
          <w:sz w:val="32"/>
          <w:szCs w:val="32"/>
        </w:rPr>
        <w:t>发生重大数据安全事故时，应当立即启动应急预案，及时采取补救措施，告知可能受到影响的用户，并按照规定向有关主管部门报告。</w:t>
      </w:r>
    </w:p>
    <w:p>
      <w:pPr>
        <w:keepNext w:val="0"/>
        <w:keepLines w:val="0"/>
        <w:pageBreakBefore w:val="0"/>
        <w:kinsoku/>
        <w:wordWrap/>
        <w:overflowPunct/>
        <w:topLinePunct w:val="0"/>
        <w:autoSpaceDE w:val="0"/>
        <w:bidi w:val="0"/>
        <w:adjustRightInd/>
        <w:spacing w:line="592" w:lineRule="exact"/>
        <w:ind w:left="0" w:leftChars="0" w:right="0" w:rightChars="0" w:firstLine="710" w:firstLineChars="200"/>
        <w:textAlignment w:val="auto"/>
        <w:outlineLvl w:val="9"/>
        <w:rPr>
          <w:rFonts w:hint="eastAsia" w:ascii="仿宋_GB2312" w:hAnsi="仿宋" w:eastAsia="仿宋_GB2312"/>
          <w:sz w:val="32"/>
          <w:szCs w:val="32"/>
        </w:rPr>
      </w:pPr>
      <w:r>
        <w:rPr>
          <w:rFonts w:hint="eastAsia" w:ascii="黑体" w:hAnsi="黑体" w:eastAsia="黑体"/>
          <w:sz w:val="32"/>
          <w:szCs w:val="32"/>
          <w:shd w:val="clear" w:color="auto" w:fill="FFFFFF"/>
        </w:rPr>
        <w:t>第三十三条</w:t>
      </w:r>
      <w:r>
        <w:rPr>
          <w:rFonts w:hint="eastAsia" w:ascii="仿宋_GB2312" w:hAnsi="楷体" w:eastAsia="仿宋_GB2312"/>
          <w:sz w:val="32"/>
          <w:szCs w:val="32"/>
        </w:rPr>
        <w:t xml:space="preserve">  </w:t>
      </w:r>
      <w:r>
        <w:rPr>
          <w:rFonts w:hint="eastAsia" w:ascii="仿宋_GB2312" w:hAnsi="仿宋" w:eastAsia="仿宋_GB2312"/>
          <w:sz w:val="32"/>
          <w:szCs w:val="32"/>
        </w:rPr>
        <w:t>鼓励大数据保护关键技术和大数据安全监管支撑技术创新和研究，支持科研机构、高等院校和企业开展数据安全关键技术攻关，推动政府、行业、企业间数据风险信息共享。</w:t>
      </w:r>
    </w:p>
    <w:p>
      <w:pPr>
        <w:keepNext w:val="0"/>
        <w:keepLines w:val="0"/>
        <w:pageBreakBefore w:val="0"/>
        <w:kinsoku/>
        <w:wordWrap/>
        <w:overflowPunct/>
        <w:topLinePunct w:val="0"/>
        <w:autoSpaceDE w:val="0"/>
        <w:bidi w:val="0"/>
        <w:adjustRightInd/>
        <w:spacing w:line="592" w:lineRule="exact"/>
        <w:ind w:left="0" w:leftChars="0" w:right="0" w:rightChars="0"/>
        <w:textAlignment w:val="auto"/>
        <w:outlineLvl w:val="9"/>
        <w:rPr>
          <w:rFonts w:hint="eastAsia" w:ascii="黑体" w:hAnsi="黑体" w:eastAsia="黑体"/>
          <w:sz w:val="32"/>
          <w:szCs w:val="32"/>
          <w:shd w:val="clear" w:color="auto" w:fill="FFFFFF"/>
        </w:rPr>
      </w:pPr>
    </w:p>
    <w:p>
      <w:pPr>
        <w:keepNext w:val="0"/>
        <w:keepLines w:val="0"/>
        <w:pageBreakBefore w:val="0"/>
        <w:kinsoku/>
        <w:wordWrap/>
        <w:overflowPunct/>
        <w:topLinePunct w:val="0"/>
        <w:autoSpaceDE w:val="0"/>
        <w:bidi w:val="0"/>
        <w:adjustRightInd/>
        <w:spacing w:line="592" w:lineRule="exact"/>
        <w:ind w:left="0" w:leftChars="0" w:right="0" w:rightChars="0"/>
        <w:jc w:val="center"/>
        <w:textAlignment w:val="auto"/>
        <w:outlineLvl w:val="9"/>
        <w:rPr>
          <w:rFonts w:hint="eastAsia" w:ascii="黑体" w:hAnsi="黑体" w:eastAsia="黑体"/>
          <w:sz w:val="32"/>
          <w:szCs w:val="32"/>
          <w:shd w:val="clear" w:color="auto" w:fill="FFFFFF"/>
        </w:rPr>
      </w:pPr>
      <w:r>
        <w:rPr>
          <w:rFonts w:hint="eastAsia" w:ascii="黑体" w:hAnsi="黑体" w:eastAsia="黑体"/>
          <w:sz w:val="32"/>
          <w:szCs w:val="32"/>
          <w:shd w:val="clear" w:color="auto" w:fill="FFFFFF"/>
        </w:rPr>
        <w:t>第五章  法律责任</w:t>
      </w:r>
    </w:p>
    <w:p>
      <w:pPr>
        <w:keepNext w:val="0"/>
        <w:keepLines w:val="0"/>
        <w:pageBreakBefore w:val="0"/>
        <w:kinsoku/>
        <w:wordWrap/>
        <w:overflowPunct/>
        <w:topLinePunct w:val="0"/>
        <w:autoSpaceDE w:val="0"/>
        <w:bidi w:val="0"/>
        <w:adjustRightInd/>
        <w:spacing w:line="592" w:lineRule="exact"/>
        <w:ind w:left="0" w:leftChars="0" w:right="0" w:rightChars="0" w:firstLine="710" w:firstLineChars="200"/>
        <w:textAlignment w:val="auto"/>
        <w:outlineLvl w:val="9"/>
        <w:rPr>
          <w:rFonts w:hint="eastAsia" w:ascii="黑体" w:hAnsi="黑体" w:eastAsia="黑体"/>
          <w:sz w:val="32"/>
          <w:szCs w:val="32"/>
          <w:shd w:val="clear" w:color="auto" w:fill="FFFFFF"/>
        </w:rPr>
      </w:pPr>
    </w:p>
    <w:p>
      <w:pPr>
        <w:keepNext w:val="0"/>
        <w:keepLines w:val="0"/>
        <w:pageBreakBefore w:val="0"/>
        <w:kinsoku/>
        <w:wordWrap/>
        <w:overflowPunct/>
        <w:topLinePunct w:val="0"/>
        <w:autoSpaceDE w:val="0"/>
        <w:bidi w:val="0"/>
        <w:adjustRightInd/>
        <w:spacing w:line="592" w:lineRule="exact"/>
        <w:ind w:left="0" w:leftChars="0" w:right="0" w:rightChars="0" w:firstLine="710" w:firstLineChars="200"/>
        <w:textAlignment w:val="auto"/>
        <w:outlineLvl w:val="9"/>
        <w:rPr>
          <w:rFonts w:hint="eastAsia" w:ascii="仿宋_GB2312" w:hAnsi="仿宋" w:eastAsia="仿宋_GB2312"/>
          <w:sz w:val="32"/>
          <w:szCs w:val="32"/>
        </w:rPr>
      </w:pPr>
      <w:r>
        <w:rPr>
          <w:rFonts w:hint="eastAsia" w:ascii="黑体" w:hAnsi="黑体" w:eastAsia="黑体"/>
          <w:sz w:val="32"/>
          <w:szCs w:val="32"/>
          <w:shd w:val="clear" w:color="auto" w:fill="FFFFFF"/>
        </w:rPr>
        <w:t>第三十四条</w:t>
      </w:r>
      <w:r>
        <w:rPr>
          <w:rFonts w:hint="eastAsia" w:ascii="仿宋_GB2312" w:hAnsi="仿宋" w:eastAsia="仿宋_GB2312"/>
          <w:sz w:val="32"/>
          <w:szCs w:val="32"/>
        </w:rPr>
        <w:t xml:space="preserve">  公共机构及其工作人员违反本条例第十五条第二款、第十七条第二款、第二十五条、第二十六条第二款、第二十七条第一款、第二十八条第一款、第二十九条第一款规定的，由其上级主管部门或者监察机关对直接负责的主管人员和其他直接责任人员依法给予行政处分。</w:t>
      </w:r>
    </w:p>
    <w:p>
      <w:pPr>
        <w:keepNext w:val="0"/>
        <w:keepLines w:val="0"/>
        <w:pageBreakBefore w:val="0"/>
        <w:kinsoku/>
        <w:wordWrap/>
        <w:overflowPunct/>
        <w:topLinePunct w:val="0"/>
        <w:autoSpaceDE w:val="0"/>
        <w:bidi w:val="0"/>
        <w:adjustRightInd/>
        <w:spacing w:line="592" w:lineRule="exact"/>
        <w:ind w:left="0" w:leftChars="0" w:right="0" w:rightChars="0" w:firstLine="710" w:firstLineChars="200"/>
        <w:textAlignment w:val="auto"/>
        <w:outlineLvl w:val="9"/>
        <w:rPr>
          <w:rFonts w:hint="eastAsia" w:ascii="仿宋_GB2312" w:hAnsi="仿宋" w:eastAsia="仿宋_GB2312"/>
          <w:sz w:val="32"/>
          <w:szCs w:val="32"/>
        </w:rPr>
      </w:pPr>
      <w:r>
        <w:rPr>
          <w:rFonts w:hint="eastAsia" w:ascii="黑体" w:hAnsi="黑体" w:eastAsia="黑体"/>
          <w:sz w:val="32"/>
          <w:szCs w:val="32"/>
          <w:shd w:val="clear" w:color="auto" w:fill="FFFFFF"/>
        </w:rPr>
        <w:t>第三十五条</w:t>
      </w:r>
      <w:r>
        <w:rPr>
          <w:rFonts w:hint="eastAsia" w:ascii="仿宋_GB2312" w:hAnsi="仿宋" w:eastAsia="仿宋_GB2312"/>
          <w:sz w:val="32"/>
          <w:szCs w:val="32"/>
        </w:rPr>
        <w:t xml:space="preserve">  国家机关及其工作人员违反本条例规定，或者玩忽职守、滥用职权、徇私舞弊，妨碍大数据发展应用工作，尚不构成犯罪的，由其上级主管部门或者监察机关对直接负责的主管人员和其他直接责任人员依法给予行政处分。</w:t>
      </w:r>
    </w:p>
    <w:p>
      <w:pPr>
        <w:keepNext w:val="0"/>
        <w:keepLines w:val="0"/>
        <w:pageBreakBefore w:val="0"/>
        <w:kinsoku/>
        <w:wordWrap/>
        <w:overflowPunct/>
        <w:topLinePunct w:val="0"/>
        <w:autoSpaceDE w:val="0"/>
        <w:bidi w:val="0"/>
        <w:adjustRightInd/>
        <w:spacing w:line="592" w:lineRule="exact"/>
        <w:ind w:left="0" w:leftChars="0" w:right="0" w:rightChars="0" w:firstLine="710" w:firstLineChars="200"/>
        <w:textAlignment w:val="auto"/>
        <w:outlineLvl w:val="9"/>
        <w:rPr>
          <w:rFonts w:hint="eastAsia" w:ascii="仿宋_GB2312" w:hAnsi="黑体" w:eastAsia="仿宋_GB2312" w:cs="黑体"/>
          <w:sz w:val="32"/>
          <w:szCs w:val="32"/>
        </w:rPr>
      </w:pPr>
      <w:r>
        <w:rPr>
          <w:rFonts w:hint="eastAsia" w:ascii="黑体" w:hAnsi="黑体" w:eastAsia="黑体"/>
          <w:sz w:val="32"/>
          <w:szCs w:val="32"/>
          <w:shd w:val="clear" w:color="auto" w:fill="FFFFFF"/>
        </w:rPr>
        <w:t>第三十六条</w:t>
      </w:r>
      <w:r>
        <w:rPr>
          <w:rFonts w:hint="eastAsia" w:ascii="仿宋_GB2312" w:hAnsi="黑体" w:eastAsia="仿宋_GB2312" w:cs="黑体"/>
          <w:sz w:val="32"/>
          <w:szCs w:val="32"/>
        </w:rPr>
        <w:t xml:space="preserve">  </w:t>
      </w:r>
      <w:r>
        <w:rPr>
          <w:rFonts w:hint="eastAsia" w:ascii="仿宋_GB2312" w:eastAsia="仿宋_GB2312"/>
          <w:sz w:val="32"/>
          <w:szCs w:val="32"/>
        </w:rPr>
        <w:t>违反本条例规定，非法采集、销售涉及国家利益、公共安全和军工科研生产等数据的，按照有关法律法规的规定处罚。</w:t>
      </w:r>
    </w:p>
    <w:p>
      <w:pPr>
        <w:keepNext w:val="0"/>
        <w:keepLines w:val="0"/>
        <w:pageBreakBefore w:val="0"/>
        <w:kinsoku/>
        <w:wordWrap/>
        <w:overflowPunct/>
        <w:topLinePunct w:val="0"/>
        <w:autoSpaceDE w:val="0"/>
        <w:bidi w:val="0"/>
        <w:adjustRightInd/>
        <w:spacing w:line="592" w:lineRule="exact"/>
        <w:ind w:left="0" w:leftChars="0" w:right="0" w:rightChars="0" w:firstLine="71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非法采集、销售涉及商业秘密或者个人隐私数据，尚不构成犯罪的，由县级以上人民政府有关行政主管部门没收违法所得，并可处以违法所得1倍以上10倍以下罚款；没有违法所得的，处以1万元以上10万元以下罚款。</w:t>
      </w:r>
    </w:p>
    <w:p>
      <w:pPr>
        <w:keepNext w:val="0"/>
        <w:keepLines w:val="0"/>
        <w:pageBreakBefore w:val="0"/>
        <w:kinsoku/>
        <w:wordWrap/>
        <w:overflowPunct/>
        <w:topLinePunct w:val="0"/>
        <w:autoSpaceDE w:val="0"/>
        <w:bidi w:val="0"/>
        <w:adjustRightInd/>
        <w:spacing w:line="592" w:lineRule="exact"/>
        <w:ind w:left="0" w:leftChars="0" w:right="0" w:rightChars="0" w:firstLine="710" w:firstLineChars="200"/>
        <w:textAlignment w:val="auto"/>
        <w:outlineLvl w:val="9"/>
        <w:rPr>
          <w:rFonts w:hint="eastAsia" w:ascii="仿宋_GB2312" w:hAnsi="仿宋" w:eastAsia="仿宋_GB2312"/>
          <w:sz w:val="32"/>
          <w:szCs w:val="32"/>
        </w:rPr>
      </w:pPr>
      <w:r>
        <w:rPr>
          <w:rFonts w:hint="eastAsia" w:ascii="黑体" w:hAnsi="黑体" w:eastAsia="黑体"/>
          <w:sz w:val="32"/>
          <w:szCs w:val="32"/>
          <w:shd w:val="clear" w:color="auto" w:fill="FFFFFF"/>
        </w:rPr>
        <w:t>第三十七条</w:t>
      </w:r>
      <w:r>
        <w:rPr>
          <w:rFonts w:hint="eastAsia" w:ascii="仿宋_GB2312" w:hAnsi="黑体" w:eastAsia="仿宋_GB2312" w:cs="黑体"/>
          <w:sz w:val="32"/>
          <w:szCs w:val="32"/>
        </w:rPr>
        <w:t xml:space="preserve"> </w:t>
      </w:r>
      <w:r>
        <w:rPr>
          <w:rFonts w:hint="eastAsia" w:ascii="仿宋_GB2312" w:hAnsi="仿宋" w:eastAsia="仿宋_GB2312"/>
          <w:sz w:val="32"/>
          <w:szCs w:val="32"/>
        </w:rPr>
        <w:t xml:space="preserve"> 违反本条例规定的其他行为，有关法律法规有处罚规定的，从其规定。</w:t>
      </w:r>
    </w:p>
    <w:p>
      <w:pPr>
        <w:keepNext w:val="0"/>
        <w:keepLines w:val="0"/>
        <w:pageBreakBefore w:val="0"/>
        <w:kinsoku/>
        <w:wordWrap/>
        <w:overflowPunct/>
        <w:topLinePunct w:val="0"/>
        <w:autoSpaceDE w:val="0"/>
        <w:bidi w:val="0"/>
        <w:adjustRightInd/>
        <w:spacing w:line="592" w:lineRule="exact"/>
        <w:ind w:left="0" w:leftChars="0" w:right="0" w:rightChars="0"/>
        <w:textAlignment w:val="auto"/>
        <w:outlineLvl w:val="9"/>
        <w:rPr>
          <w:rFonts w:hint="eastAsia" w:ascii="黑体" w:hAnsi="黑体" w:eastAsia="黑体"/>
          <w:sz w:val="32"/>
          <w:szCs w:val="32"/>
          <w:shd w:val="clear" w:color="auto" w:fill="FFFFFF"/>
        </w:rPr>
      </w:pPr>
    </w:p>
    <w:p>
      <w:pPr>
        <w:keepNext w:val="0"/>
        <w:keepLines w:val="0"/>
        <w:pageBreakBefore w:val="0"/>
        <w:kinsoku/>
        <w:wordWrap/>
        <w:overflowPunct/>
        <w:topLinePunct w:val="0"/>
        <w:autoSpaceDE w:val="0"/>
        <w:bidi w:val="0"/>
        <w:adjustRightInd/>
        <w:spacing w:line="592" w:lineRule="exact"/>
        <w:ind w:left="0" w:leftChars="0" w:right="0" w:rightChars="0"/>
        <w:jc w:val="center"/>
        <w:textAlignment w:val="auto"/>
        <w:outlineLvl w:val="9"/>
        <w:rPr>
          <w:rFonts w:hint="eastAsia" w:ascii="黑体" w:hAnsi="黑体" w:eastAsia="黑体"/>
          <w:sz w:val="32"/>
          <w:szCs w:val="32"/>
          <w:shd w:val="clear" w:color="auto" w:fill="FFFFFF"/>
        </w:rPr>
      </w:pPr>
      <w:r>
        <w:rPr>
          <w:rFonts w:hint="eastAsia" w:ascii="黑体" w:hAnsi="黑体" w:eastAsia="黑体"/>
          <w:sz w:val="32"/>
          <w:szCs w:val="32"/>
          <w:shd w:val="clear" w:color="auto" w:fill="FFFFFF"/>
        </w:rPr>
        <w:t>第六章  附  则</w:t>
      </w:r>
    </w:p>
    <w:p>
      <w:pPr>
        <w:keepNext w:val="0"/>
        <w:keepLines w:val="0"/>
        <w:pageBreakBefore w:val="0"/>
        <w:kinsoku/>
        <w:wordWrap/>
        <w:overflowPunct/>
        <w:topLinePunct w:val="0"/>
        <w:autoSpaceDE w:val="0"/>
        <w:bidi w:val="0"/>
        <w:adjustRightInd/>
        <w:spacing w:line="592" w:lineRule="exact"/>
        <w:ind w:left="0" w:leftChars="0" w:right="0" w:rightChars="0" w:firstLine="710" w:firstLineChars="200"/>
        <w:textAlignment w:val="auto"/>
        <w:outlineLvl w:val="9"/>
        <w:rPr>
          <w:rFonts w:hint="eastAsia" w:ascii="黑体" w:hAnsi="黑体" w:eastAsia="黑体"/>
          <w:sz w:val="32"/>
          <w:szCs w:val="32"/>
          <w:shd w:val="clear" w:color="auto" w:fill="FFFFFF"/>
        </w:rPr>
      </w:pPr>
    </w:p>
    <w:p>
      <w:pPr>
        <w:keepNext w:val="0"/>
        <w:keepLines w:val="0"/>
        <w:pageBreakBefore w:val="0"/>
        <w:kinsoku/>
        <w:wordWrap/>
        <w:overflowPunct/>
        <w:topLinePunct w:val="0"/>
        <w:autoSpaceDE w:val="0"/>
        <w:bidi w:val="0"/>
        <w:adjustRightInd/>
        <w:spacing w:line="592" w:lineRule="exact"/>
        <w:ind w:left="0" w:leftChars="0" w:right="0" w:rightChars="0" w:firstLine="710" w:firstLineChars="200"/>
        <w:textAlignment w:val="auto"/>
        <w:outlineLvl w:val="9"/>
        <w:rPr>
          <w:rFonts w:hint="eastAsia" w:ascii="仿宋_GB2312" w:hAnsi="仿宋" w:eastAsia="仿宋_GB2312"/>
          <w:sz w:val="32"/>
          <w:szCs w:val="32"/>
        </w:rPr>
      </w:pPr>
      <w:r>
        <w:rPr>
          <w:rFonts w:hint="eastAsia" w:ascii="黑体" w:hAnsi="黑体" w:eastAsia="黑体"/>
          <w:sz w:val="32"/>
          <w:szCs w:val="32"/>
          <w:shd w:val="clear" w:color="auto" w:fill="FFFFFF"/>
        </w:rPr>
        <w:t>第三十八条</w:t>
      </w:r>
      <w:r>
        <w:rPr>
          <w:rFonts w:hint="eastAsia" w:ascii="仿宋_GB2312" w:hAnsi="黑体" w:eastAsia="仿宋_GB2312" w:cs="黑体"/>
          <w:sz w:val="32"/>
          <w:szCs w:val="32"/>
        </w:rPr>
        <w:t xml:space="preserve">  </w:t>
      </w:r>
      <w:r>
        <w:rPr>
          <w:rFonts w:hint="eastAsia" w:ascii="仿宋_GB2312" w:hAnsi="仿宋" w:eastAsia="仿宋_GB2312"/>
          <w:sz w:val="32"/>
          <w:szCs w:val="32"/>
        </w:rPr>
        <w:t>本条例下列用语的含义为：</w:t>
      </w:r>
    </w:p>
    <w:p>
      <w:pPr>
        <w:keepNext w:val="0"/>
        <w:keepLines w:val="0"/>
        <w:pageBreakBefore w:val="0"/>
        <w:kinsoku/>
        <w:wordWrap/>
        <w:overflowPunct/>
        <w:topLinePunct w:val="0"/>
        <w:autoSpaceDE w:val="0"/>
        <w:bidi w:val="0"/>
        <w:adjustRightInd/>
        <w:spacing w:line="592" w:lineRule="exact"/>
        <w:ind w:left="0" w:leftChars="0" w:right="0" w:rightChars="0" w:firstLine="71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（一）公共数据，是指公共机构、公共服务企业为履行职责收集、制作、使用的数据。</w:t>
      </w:r>
    </w:p>
    <w:p>
      <w:pPr>
        <w:keepNext w:val="0"/>
        <w:keepLines w:val="0"/>
        <w:pageBreakBefore w:val="0"/>
        <w:kinsoku/>
        <w:wordWrap/>
        <w:overflowPunct/>
        <w:topLinePunct w:val="0"/>
        <w:autoSpaceDE w:val="0"/>
        <w:bidi w:val="0"/>
        <w:adjustRightInd/>
        <w:spacing w:line="592" w:lineRule="exact"/>
        <w:ind w:left="0" w:leftChars="0" w:right="0" w:rightChars="0" w:firstLine="71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（二）公共机构，是指全部或者部分使用财政性资金的国家机关、事业单位和团体组织。</w:t>
      </w:r>
    </w:p>
    <w:p>
      <w:pPr>
        <w:keepNext w:val="0"/>
        <w:keepLines w:val="0"/>
        <w:pageBreakBefore w:val="0"/>
        <w:kinsoku/>
        <w:wordWrap/>
        <w:overflowPunct/>
        <w:topLinePunct w:val="0"/>
        <w:autoSpaceDE w:val="0"/>
        <w:bidi w:val="0"/>
        <w:adjustRightInd/>
        <w:spacing w:line="592" w:lineRule="exact"/>
        <w:ind w:left="0" w:leftChars="0" w:right="0" w:rightChars="0" w:firstLine="710" w:firstLineChars="200"/>
        <w:textAlignment w:val="auto"/>
        <w:outlineLvl w:val="9"/>
        <w:rPr>
          <w:rFonts w:hint="eastAsia" w:ascii="仿宋_GB2312" w:hAnsi="黑体" w:eastAsia="仿宋_GB2312" w:cs="黑体"/>
          <w:w w:val="97"/>
          <w:sz w:val="32"/>
          <w:szCs w:val="32"/>
        </w:rPr>
      </w:pPr>
      <w:r>
        <w:rPr>
          <w:rFonts w:hint="eastAsia" w:ascii="仿宋_GB2312" w:hAnsi="仿宋" w:eastAsia="仿宋_GB2312"/>
          <w:sz w:val="32"/>
          <w:szCs w:val="32"/>
        </w:rPr>
        <w:t>（三）公共服务企业，是指提供公共服务的供水、供电、燃气、通信、民航、铁路、道路客运等企业。</w:t>
      </w:r>
    </w:p>
    <w:p>
      <w:pPr>
        <w:keepNext w:val="0"/>
        <w:keepLines w:val="0"/>
        <w:pageBreakBefore w:val="0"/>
        <w:kinsoku/>
        <w:wordWrap/>
        <w:overflowPunct/>
        <w:topLinePunct w:val="0"/>
        <w:autoSpaceDE w:val="0"/>
        <w:bidi w:val="0"/>
        <w:adjustRightInd/>
        <w:spacing w:line="592" w:lineRule="exact"/>
        <w:ind w:left="0" w:leftChars="0" w:right="0" w:rightChars="0" w:firstLine="710" w:firstLineChars="200"/>
        <w:textAlignment w:val="auto"/>
        <w:outlineLvl w:val="9"/>
        <w:rPr>
          <w:rFonts w:hint="eastAsia" w:ascii="仿宋_GB2312" w:hAnsi="仿宋" w:eastAsia="仿宋_GB2312"/>
          <w:sz w:val="32"/>
          <w:szCs w:val="32"/>
        </w:rPr>
      </w:pPr>
      <w:r>
        <w:rPr>
          <w:rFonts w:hint="eastAsia" w:ascii="黑体" w:hAnsi="黑体" w:eastAsia="黑体"/>
          <w:sz w:val="32"/>
          <w:szCs w:val="32"/>
          <w:shd w:val="clear" w:color="auto" w:fill="FFFFFF"/>
        </w:rPr>
        <w:t>第三十九条</w:t>
      </w:r>
      <w:r>
        <w:rPr>
          <w:rFonts w:hint="eastAsia" w:ascii="仿宋_GB2312" w:hAnsi="黑体" w:eastAsia="仿宋_GB2312" w:cs="黑体"/>
          <w:sz w:val="32"/>
          <w:szCs w:val="32"/>
        </w:rPr>
        <w:t xml:space="preserve">  </w:t>
      </w:r>
      <w:r>
        <w:rPr>
          <w:rFonts w:hint="eastAsia" w:ascii="仿宋_GB2312" w:hAnsi="仿宋" w:eastAsia="仿宋_GB2312"/>
          <w:sz w:val="32"/>
          <w:szCs w:val="32"/>
        </w:rPr>
        <w:t>本条例自2016年3月1日起施行。</w:t>
      </w:r>
    </w:p>
    <w:sectPr>
      <w:headerReference r:id="rId3" w:type="default"/>
      <w:footerReference r:id="rId4" w:type="default"/>
      <w:footerReference r:id="rId5" w:type="even"/>
      <w:pgSz w:w="11906" w:h="16838"/>
      <w:pgMar w:top="1928" w:right="1531" w:bottom="1701" w:left="1531" w:header="851" w:footer="1531" w:gutter="0"/>
      <w:paperSrc/>
      <w:pgNumType w:fmt="decimal"/>
      <w:cols w:space="720" w:num="1"/>
      <w:rtlGutter w:val="0"/>
      <w:docGrid w:type="linesAndChars" w:linePitch="600" w:charSpace="73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Courier New">
    <w:panose1 w:val="02070309020205020404"/>
    <w:charset w:val="00"/>
    <w:family w:val="modern"/>
    <w:pitch w:val="default"/>
    <w:sig w:usb0="00007A87" w:usb1="80000000" w:usb2="00000008" w:usb3="00000000" w:csb0="400001FF" w:csb1="FFFF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altName w:val="仿宋_GB2312"/>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00007A87" w:usb1="80000000" w:usb2="00000008" w:usb3="00000000" w:csb0="400001FF" w:csb1="FFFF0000"/>
  </w:font>
  <w:font w:name="Geneva">
    <w:altName w:val="宋体"/>
    <w:panose1 w:val="00000000000000000000"/>
    <w:charset w:val="00"/>
    <w:family w:val="auto"/>
    <w:pitch w:val="default"/>
    <w:sig w:usb0="00000000" w:usb1="00000000" w:usb2="00000000" w:usb3="00000000" w:csb0="00040001" w:csb1="00000000"/>
  </w:font>
  <w:font w:name="楷体">
    <w:altName w:val="楷体_GB2312"/>
    <w:panose1 w:val="02010609060101010101"/>
    <w:charset w:val="86"/>
    <w:family w:val="roman"/>
    <w:pitch w:val="default"/>
    <w:sig w:usb0="800002BF" w:usb1="38CF7CFA" w:usb2="00000016" w:usb3="00000000" w:csb0="00040001"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8"/>
                            <w:rPr>
                              <w:rStyle w:val="13"/>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13"/>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13"/>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8"/>
                      <w:rPr>
                        <w:rStyle w:val="13"/>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13"/>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13"/>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3"/>
      </w:rPr>
    </w:pPr>
    <w:r>
      <w:fldChar w:fldCharType="begin"/>
    </w:r>
    <w:r>
      <w:rPr>
        <w:rStyle w:val="13"/>
      </w:rPr>
      <w:instrText xml:space="preserve">PAGE  </w:instrText>
    </w:r>
    <w:r>
      <w:fldChar w:fldCharType="separate"/>
    </w:r>
    <w:r>
      <w:rPr>
        <w:rStyle w:val="13"/>
      </w:rPr>
      <w:t>3</w:t>
    </w:r>
    <w:r>
      <w:fldChar w:fldCharType="end"/>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7B117"/>
    <w:multiLevelType w:val="singleLevel"/>
    <w:tmpl w:val="5257B117"/>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1596"/>
    <w:rsid w:val="00042904"/>
    <w:rsid w:val="00072D0B"/>
    <w:rsid w:val="00076CF8"/>
    <w:rsid w:val="000D7644"/>
    <w:rsid w:val="000E5357"/>
    <w:rsid w:val="00105DE0"/>
    <w:rsid w:val="00190D32"/>
    <w:rsid w:val="001A79A0"/>
    <w:rsid w:val="001C13E3"/>
    <w:rsid w:val="001D3F4A"/>
    <w:rsid w:val="001E6000"/>
    <w:rsid w:val="001E6F66"/>
    <w:rsid w:val="002148B6"/>
    <w:rsid w:val="00226E00"/>
    <w:rsid w:val="00244880"/>
    <w:rsid w:val="00253093"/>
    <w:rsid w:val="002C445A"/>
    <w:rsid w:val="00330649"/>
    <w:rsid w:val="003364C1"/>
    <w:rsid w:val="00337061"/>
    <w:rsid w:val="00337C27"/>
    <w:rsid w:val="003410DF"/>
    <w:rsid w:val="00373FF9"/>
    <w:rsid w:val="00374D11"/>
    <w:rsid w:val="003A39A3"/>
    <w:rsid w:val="003B5EB6"/>
    <w:rsid w:val="00405786"/>
    <w:rsid w:val="00407E26"/>
    <w:rsid w:val="00416224"/>
    <w:rsid w:val="00417EA8"/>
    <w:rsid w:val="00442FEE"/>
    <w:rsid w:val="004528D5"/>
    <w:rsid w:val="004637AC"/>
    <w:rsid w:val="00465220"/>
    <w:rsid w:val="004724FD"/>
    <w:rsid w:val="004B4E17"/>
    <w:rsid w:val="004D5863"/>
    <w:rsid w:val="004E19DD"/>
    <w:rsid w:val="004E400E"/>
    <w:rsid w:val="005023C1"/>
    <w:rsid w:val="00530038"/>
    <w:rsid w:val="00540EB8"/>
    <w:rsid w:val="005772CA"/>
    <w:rsid w:val="005A2FBA"/>
    <w:rsid w:val="005E4D15"/>
    <w:rsid w:val="006007F2"/>
    <w:rsid w:val="0061165C"/>
    <w:rsid w:val="00627602"/>
    <w:rsid w:val="00642A99"/>
    <w:rsid w:val="00652FBF"/>
    <w:rsid w:val="006534C7"/>
    <w:rsid w:val="006B0EAD"/>
    <w:rsid w:val="006D3BC5"/>
    <w:rsid w:val="00703127"/>
    <w:rsid w:val="00716396"/>
    <w:rsid w:val="007309E6"/>
    <w:rsid w:val="0074563E"/>
    <w:rsid w:val="007561EE"/>
    <w:rsid w:val="00762DC2"/>
    <w:rsid w:val="0077297D"/>
    <w:rsid w:val="00795173"/>
    <w:rsid w:val="007B21D1"/>
    <w:rsid w:val="007B4BB1"/>
    <w:rsid w:val="007E5B27"/>
    <w:rsid w:val="007F047E"/>
    <w:rsid w:val="007F2164"/>
    <w:rsid w:val="007F6B67"/>
    <w:rsid w:val="008476CE"/>
    <w:rsid w:val="008522BF"/>
    <w:rsid w:val="00873750"/>
    <w:rsid w:val="00875886"/>
    <w:rsid w:val="00877999"/>
    <w:rsid w:val="008A6A52"/>
    <w:rsid w:val="00916742"/>
    <w:rsid w:val="0094283B"/>
    <w:rsid w:val="009621C7"/>
    <w:rsid w:val="00967980"/>
    <w:rsid w:val="00977869"/>
    <w:rsid w:val="00977C77"/>
    <w:rsid w:val="009A4F4D"/>
    <w:rsid w:val="009F38DD"/>
    <w:rsid w:val="00A14EE0"/>
    <w:rsid w:val="00A4387D"/>
    <w:rsid w:val="00A557C4"/>
    <w:rsid w:val="00A605E2"/>
    <w:rsid w:val="00A90B03"/>
    <w:rsid w:val="00AA2F9C"/>
    <w:rsid w:val="00AA62FF"/>
    <w:rsid w:val="00AA774B"/>
    <w:rsid w:val="00AB7F66"/>
    <w:rsid w:val="00AD3D77"/>
    <w:rsid w:val="00AF0FF6"/>
    <w:rsid w:val="00B112F7"/>
    <w:rsid w:val="00B1578C"/>
    <w:rsid w:val="00B25AF8"/>
    <w:rsid w:val="00B5335D"/>
    <w:rsid w:val="00B64A82"/>
    <w:rsid w:val="00B6783B"/>
    <w:rsid w:val="00B96F5D"/>
    <w:rsid w:val="00C26132"/>
    <w:rsid w:val="00C53DD1"/>
    <w:rsid w:val="00C77C8A"/>
    <w:rsid w:val="00C819AE"/>
    <w:rsid w:val="00C85682"/>
    <w:rsid w:val="00CB67CB"/>
    <w:rsid w:val="00D0087C"/>
    <w:rsid w:val="00D10D47"/>
    <w:rsid w:val="00D330BE"/>
    <w:rsid w:val="00D41C1B"/>
    <w:rsid w:val="00D72E3E"/>
    <w:rsid w:val="00D93474"/>
    <w:rsid w:val="00E22273"/>
    <w:rsid w:val="00E27E5A"/>
    <w:rsid w:val="00E40461"/>
    <w:rsid w:val="00E75101"/>
    <w:rsid w:val="00E92113"/>
    <w:rsid w:val="00E951ED"/>
    <w:rsid w:val="00ED4C65"/>
    <w:rsid w:val="00EE56F2"/>
    <w:rsid w:val="00EF14A9"/>
    <w:rsid w:val="00F05DC6"/>
    <w:rsid w:val="00F3165B"/>
    <w:rsid w:val="00F737E2"/>
    <w:rsid w:val="00F77E6E"/>
    <w:rsid w:val="00F84601"/>
    <w:rsid w:val="00F94756"/>
    <w:rsid w:val="00FA1CDD"/>
    <w:rsid w:val="00FB0DC8"/>
    <w:rsid w:val="00FC4A6C"/>
    <w:rsid w:val="00FE0A57"/>
    <w:rsid w:val="00FE2401"/>
    <w:rsid w:val="00FE424C"/>
    <w:rsid w:val="05B61813"/>
    <w:rsid w:val="081B39F6"/>
    <w:rsid w:val="177A1805"/>
    <w:rsid w:val="1B04059F"/>
    <w:rsid w:val="2FFC43C7"/>
    <w:rsid w:val="3A2F677E"/>
    <w:rsid w:val="41846FB3"/>
    <w:rsid w:val="4A500C79"/>
    <w:rsid w:val="56E16393"/>
    <w:rsid w:val="5AB27EB9"/>
    <w:rsid w:val="5E0E0FD9"/>
    <w:rsid w:val="68F71FC3"/>
    <w:rsid w:val="69862BB0"/>
    <w:rsid w:val="6BC2627F"/>
    <w:rsid w:val="7F1901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8"/>
      <w:szCs w:val="24"/>
      <w:lang w:val="en-US" w:eastAsia="zh-CN" w:bidi="ar-SA"/>
    </w:rPr>
  </w:style>
  <w:style w:type="paragraph" w:styleId="2">
    <w:name w:val="heading 1"/>
    <w:basedOn w:val="1"/>
    <w:uiPriority w:val="0"/>
    <w:pPr>
      <w:widowControl/>
      <w:spacing w:before="100" w:beforeAutospacing="1" w:after="100" w:afterAutospacing="1"/>
      <w:jc w:val="left"/>
      <w:outlineLvl w:val="0"/>
    </w:pPr>
    <w:rPr>
      <w:rFonts w:ascii="宋体" w:hAnsi="宋体" w:cs="宋体"/>
      <w:b/>
      <w:bCs/>
      <w:kern w:val="36"/>
      <w:sz w:val="48"/>
      <w:szCs w:val="48"/>
    </w:rPr>
  </w:style>
  <w:style w:type="character" w:default="1" w:styleId="11">
    <w:name w:val="Default Paragraph Font"/>
    <w:uiPriority w:val="0"/>
  </w:style>
  <w:style w:type="table" w:default="1" w:styleId="15">
    <w:name w:val="Normal Table"/>
    <w:semiHidden/>
    <w:uiPriority w:val="0"/>
    <w:tblPr>
      <w:tblStyle w:val="15"/>
      <w:tblLayout w:type="fixed"/>
      <w:tblCellMar>
        <w:top w:w="0" w:type="dxa"/>
        <w:left w:w="108" w:type="dxa"/>
        <w:bottom w:w="0" w:type="dxa"/>
        <w:right w:w="108" w:type="dxa"/>
      </w:tblCellMar>
    </w:tblPr>
    <w:tcPr>
      <w:textDirection w:val="lrTb"/>
    </w:tcPr>
  </w:style>
  <w:style w:type="paragraph" w:styleId="3">
    <w:name w:val="Body Text"/>
    <w:basedOn w:val="1"/>
    <w:uiPriority w:val="0"/>
    <w:rPr>
      <w:sz w:val="44"/>
    </w:rPr>
  </w:style>
  <w:style w:type="paragraph" w:styleId="4">
    <w:name w:val="Body Text Indent"/>
    <w:basedOn w:val="1"/>
    <w:uiPriority w:val="0"/>
    <w:pPr>
      <w:ind w:firstLine="640" w:firstLineChars="200"/>
    </w:pPr>
    <w:rPr>
      <w:rFonts w:ascii="仿宋_GB2312" w:eastAsia="仿宋_GB2312"/>
      <w:sz w:val="32"/>
    </w:rPr>
  </w:style>
  <w:style w:type="paragraph" w:styleId="5">
    <w:name w:val="Plain Text"/>
    <w:basedOn w:val="1"/>
    <w:uiPriority w:val="0"/>
    <w:rPr>
      <w:rFonts w:ascii="宋体" w:hAnsi="Courier New" w:cs="Courier New"/>
      <w:szCs w:val="21"/>
    </w:rPr>
  </w:style>
  <w:style w:type="paragraph" w:styleId="6">
    <w:name w:val="Date"/>
    <w:basedOn w:val="1"/>
    <w:next w:val="1"/>
    <w:uiPriority w:val="0"/>
    <w:pPr>
      <w:ind w:left="100" w:leftChars="2500"/>
    </w:pPr>
  </w:style>
  <w:style w:type="paragraph" w:styleId="7">
    <w:name w:val="Balloon Text"/>
    <w:basedOn w:val="1"/>
    <w:semiHidden/>
    <w:uiPriority w:val="0"/>
    <w:rPr>
      <w:sz w:val="18"/>
      <w:szCs w:val="18"/>
    </w:r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Normal (Web)"/>
    <w:basedOn w:val="1"/>
    <w:uiPriority w:val="0"/>
    <w:pPr>
      <w:widowControl/>
      <w:spacing w:before="100" w:beforeLines="0" w:beforeAutospacing="1" w:after="100" w:afterLines="0" w:afterAutospacing="1"/>
      <w:jc w:val="left"/>
    </w:pPr>
    <w:rPr>
      <w:rFonts w:ascii="宋体" w:hAnsi="宋体" w:cs="宋体"/>
      <w:kern w:val="0"/>
      <w:sz w:val="24"/>
    </w:rPr>
  </w:style>
  <w:style w:type="character" w:styleId="12">
    <w:name w:val="Strong"/>
    <w:basedOn w:val="11"/>
    <w:uiPriority w:val="0"/>
    <w:rPr>
      <w:b/>
    </w:rPr>
  </w:style>
  <w:style w:type="character" w:styleId="13">
    <w:name w:val="page number"/>
    <w:basedOn w:val="11"/>
    <w:uiPriority w:val="0"/>
  </w:style>
  <w:style w:type="character" w:styleId="14">
    <w:name w:val="Hyperlink"/>
    <w:basedOn w:val="11"/>
    <w:uiPriority w:val="0"/>
    <w:rPr>
      <w:color w:val="0000FF"/>
      <w:u w:val="single"/>
    </w:rPr>
  </w:style>
  <w:style w:type="paragraph" w:customStyle="1" w:styleId="16">
    <w:name w:val="p15"/>
    <w:basedOn w:val="1"/>
    <w:uiPriority w:val="0"/>
    <w:pPr>
      <w:widowControl/>
    </w:pPr>
    <w:rPr>
      <w:kern w:val="0"/>
      <w:szCs w:val="21"/>
    </w:rPr>
  </w:style>
  <w:style w:type="paragraph" w:customStyle="1" w:styleId="17">
    <w:name w:val="Char Char Char1 Char Char Char Char"/>
    <w:basedOn w:val="1"/>
    <w:uiPriority w:val="0"/>
    <w:rPr>
      <w:szCs w:val="20"/>
    </w:rPr>
  </w:style>
  <w:style w:type="paragraph" w:customStyle="1" w:styleId="18">
    <w:name w:val="正文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9">
    <w:name w:val="Char"/>
    <w:basedOn w:val="1"/>
    <w:uiPriority w:val="0"/>
  </w:style>
  <w:style w:type="paragraph" w:customStyle="1" w:styleId="20">
    <w:name w:val="p0"/>
    <w:basedOn w:val="1"/>
    <w:uiPriority w:val="0"/>
    <w:pPr>
      <w:widowControl/>
      <w:spacing w:line="365" w:lineRule="atLeast"/>
      <w:ind w:left="1"/>
    </w:pPr>
    <w:rPr>
      <w:kern w:val="0"/>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714</Words>
  <Characters>4071</Characters>
  <Lines>33</Lines>
  <Paragraphs>9</Paragraphs>
  <ScaleCrop>false</ScaleCrop>
  <LinksUpToDate>false</LinksUpToDate>
  <CharactersWithSpaces>4776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2016-04-01T08:03:00Z</dcterms:created>
  <dc:creator>Administrator</dc:creator>
  <cp:lastModifiedBy>Administrator</cp:lastModifiedBy>
  <cp:lastPrinted>2015-12-21T02:15:00Z</cp:lastPrinted>
  <dcterms:modified xsi:type="dcterms:W3CDTF">2017-01-09T12:23:34Z</dcterms:modified>
  <dc:title>黔人常备〔2015〕  号</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