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仿宋" w:hAnsi="仿宋" w:eastAsia="仿宋" w:cs="仿宋"/>
          <w:sz w:val="32"/>
          <w:szCs w:val="32"/>
        </w:rPr>
      </w:pPr>
    </w:p>
    <w:p>
      <w:pPr>
        <w:rPr>
          <w:rFonts w:hint="eastAsia" w:ascii="仿宋" w:hAnsi="仿宋" w:eastAsia="仿宋" w:cs="仿宋"/>
          <w:sz w:val="32"/>
          <w:szCs w:val="32"/>
        </w:rPr>
      </w:pPr>
    </w:p>
    <w:p>
      <w:pPr>
        <w:jc w:val="center"/>
        <w:rPr>
          <w:rFonts w:hint="eastAsia" w:ascii="宋体" w:hAnsi="宋体" w:eastAsia="宋体" w:cs="宋体"/>
          <w:sz w:val="44"/>
          <w:szCs w:val="44"/>
        </w:rPr>
      </w:pPr>
      <w:r>
        <w:rPr>
          <w:rFonts w:hint="eastAsia" w:ascii="宋体" w:hAnsi="宋体" w:eastAsia="宋体" w:cs="宋体"/>
          <w:sz w:val="44"/>
          <w:szCs w:val="44"/>
        </w:rPr>
        <w:t>辽宁省会计管理条例</w:t>
      </w:r>
    </w:p>
    <w:p>
      <w:pPr>
        <w:ind w:firstLine="640" w:firstLineChars="200"/>
        <w:rPr>
          <w:rFonts w:hint="eastAsia" w:ascii="仿宋" w:hAnsi="仿宋" w:eastAsia="仿宋" w:cs="仿宋"/>
          <w:sz w:val="32"/>
          <w:szCs w:val="32"/>
        </w:rPr>
      </w:pPr>
    </w:p>
    <w:p>
      <w:pPr>
        <w:pStyle w:val="7"/>
        <w:rPr>
          <w:rFonts w:hint="eastAsia"/>
        </w:rPr>
      </w:pPr>
      <w:r>
        <w:rPr>
          <w:rFonts w:hint="eastAsia"/>
        </w:rPr>
        <w:t>（2010年7月30日辽宁省第十一届人民代表大会常务委员会第十八次会议通过）</w:t>
      </w:r>
    </w:p>
    <w:p>
      <w:pPr>
        <w:ind w:firstLine="640" w:firstLineChars="200"/>
        <w:rPr>
          <w:rFonts w:hint="eastAsia" w:ascii="楷体" w:hAnsi="楷体" w:eastAsia="楷体" w:cs="楷体"/>
          <w:sz w:val="32"/>
          <w:szCs w:val="32"/>
        </w:rPr>
      </w:pPr>
    </w:p>
    <w:p>
      <w:pPr>
        <w:jc w:val="center"/>
        <w:rPr>
          <w:rFonts w:hint="eastAsia" w:ascii="楷体" w:hAnsi="楷体" w:eastAsia="楷体" w:cs="楷体"/>
          <w:sz w:val="32"/>
          <w:szCs w:val="32"/>
          <w:lang w:eastAsia="zh-CN"/>
        </w:rPr>
      </w:pPr>
      <w:r>
        <w:rPr>
          <w:rFonts w:hint="eastAsia" w:ascii="楷体" w:hAnsi="楷体" w:eastAsia="楷体" w:cs="楷体"/>
          <w:sz w:val="32"/>
          <w:szCs w:val="32"/>
          <w:lang w:eastAsia="zh-CN"/>
        </w:rPr>
        <w:t>目</w:t>
      </w:r>
      <w:r>
        <w:rPr>
          <w:rFonts w:hint="eastAsia" w:ascii="楷体" w:hAnsi="楷体" w:eastAsia="楷体" w:cs="楷体"/>
          <w:sz w:val="32"/>
          <w:szCs w:val="32"/>
          <w:lang w:val="en-US" w:eastAsia="zh-CN"/>
        </w:rPr>
        <w:t xml:space="preserve">    </w:t>
      </w:r>
      <w:r>
        <w:rPr>
          <w:rFonts w:hint="eastAsia" w:ascii="楷体" w:hAnsi="楷体" w:eastAsia="楷体" w:cs="楷体"/>
          <w:sz w:val="32"/>
          <w:szCs w:val="32"/>
          <w:lang w:eastAsia="zh-CN"/>
        </w:rPr>
        <w:t>录</w:t>
      </w:r>
    </w:p>
    <w:p>
      <w:pPr>
        <w:jc w:val="center"/>
        <w:rPr>
          <w:rFonts w:hint="eastAsia" w:ascii="楷体" w:hAnsi="楷体" w:eastAsia="楷体" w:cs="楷体"/>
          <w:sz w:val="32"/>
          <w:szCs w:val="32"/>
          <w:lang w:eastAsia="zh-CN"/>
        </w:rPr>
      </w:pPr>
    </w:p>
    <w:p>
      <w:pPr>
        <w:pStyle w:val="7"/>
        <w:keepNext w:val="0"/>
        <w:keepLines w:val="0"/>
        <w:pageBreakBefore w:val="0"/>
        <w:widowControl w:val="0"/>
        <w:tabs>
          <w:tab w:val="right" w:pos="8844"/>
        </w:tabs>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TOC \o "1-1" \n  \h \u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_Toc7539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第一章  总    则</w:t>
      </w:r>
      <w:r>
        <w:rPr>
          <w:rFonts w:hint="eastAsia" w:ascii="楷体" w:hAnsi="楷体" w:eastAsia="楷体" w:cs="楷体"/>
          <w:sz w:val="32"/>
          <w:szCs w:val="32"/>
          <w:lang w:eastAsia="zh-CN"/>
        </w:rPr>
        <w:fldChar w:fldCharType="end"/>
      </w:r>
    </w:p>
    <w:p>
      <w:pPr>
        <w:pStyle w:val="7"/>
        <w:keepNext w:val="0"/>
        <w:keepLines w:val="0"/>
        <w:pageBreakBefore w:val="0"/>
        <w:widowControl w:val="0"/>
        <w:tabs>
          <w:tab w:val="right" w:pos="8844"/>
        </w:tabs>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_Toc20279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第二章  单位负责人的会计责任</w:t>
      </w:r>
      <w:r>
        <w:rPr>
          <w:rFonts w:hint="eastAsia" w:ascii="楷体" w:hAnsi="楷体" w:eastAsia="楷体" w:cs="楷体"/>
          <w:sz w:val="32"/>
          <w:szCs w:val="32"/>
          <w:lang w:eastAsia="zh-CN"/>
        </w:rPr>
        <w:fldChar w:fldCharType="end"/>
      </w:r>
    </w:p>
    <w:p>
      <w:pPr>
        <w:pStyle w:val="7"/>
        <w:keepNext w:val="0"/>
        <w:keepLines w:val="0"/>
        <w:pageBreakBefore w:val="0"/>
        <w:widowControl w:val="0"/>
        <w:tabs>
          <w:tab w:val="right" w:pos="8844"/>
        </w:tabs>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_Toc21255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第三章  会计机构和会计人员</w:t>
      </w:r>
      <w:r>
        <w:rPr>
          <w:rFonts w:hint="eastAsia" w:ascii="楷体" w:hAnsi="楷体" w:eastAsia="楷体" w:cs="楷体"/>
          <w:sz w:val="32"/>
          <w:szCs w:val="32"/>
          <w:lang w:eastAsia="zh-CN"/>
        </w:rPr>
        <w:fldChar w:fldCharType="end"/>
      </w:r>
    </w:p>
    <w:p>
      <w:pPr>
        <w:pStyle w:val="7"/>
        <w:keepNext w:val="0"/>
        <w:keepLines w:val="0"/>
        <w:pageBreakBefore w:val="0"/>
        <w:widowControl w:val="0"/>
        <w:tabs>
          <w:tab w:val="right" w:pos="8844"/>
        </w:tabs>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_Toc17709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第四章  会计核算</w:t>
      </w:r>
      <w:r>
        <w:rPr>
          <w:rFonts w:hint="eastAsia" w:ascii="楷体" w:hAnsi="楷体" w:eastAsia="楷体" w:cs="楷体"/>
          <w:sz w:val="32"/>
          <w:szCs w:val="32"/>
          <w:lang w:eastAsia="zh-CN"/>
        </w:rPr>
        <w:fldChar w:fldCharType="end"/>
      </w:r>
    </w:p>
    <w:p>
      <w:pPr>
        <w:pStyle w:val="7"/>
        <w:keepNext w:val="0"/>
        <w:keepLines w:val="0"/>
        <w:pageBreakBefore w:val="0"/>
        <w:widowControl w:val="0"/>
        <w:tabs>
          <w:tab w:val="right" w:pos="8844"/>
        </w:tabs>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_Toc23333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第五章  代理记账</w:t>
      </w:r>
      <w:r>
        <w:rPr>
          <w:rFonts w:hint="eastAsia" w:ascii="楷体" w:hAnsi="楷体" w:eastAsia="楷体" w:cs="楷体"/>
          <w:sz w:val="32"/>
          <w:szCs w:val="32"/>
          <w:lang w:eastAsia="zh-CN"/>
        </w:rPr>
        <w:fldChar w:fldCharType="end"/>
      </w:r>
    </w:p>
    <w:p>
      <w:pPr>
        <w:pStyle w:val="7"/>
        <w:keepNext w:val="0"/>
        <w:keepLines w:val="0"/>
        <w:pageBreakBefore w:val="0"/>
        <w:widowControl w:val="0"/>
        <w:tabs>
          <w:tab w:val="right" w:pos="8844"/>
        </w:tabs>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_Toc25714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第六章  会计监督</w:t>
      </w:r>
      <w:r>
        <w:rPr>
          <w:rFonts w:hint="eastAsia" w:ascii="楷体" w:hAnsi="楷体" w:eastAsia="楷体" w:cs="楷体"/>
          <w:sz w:val="32"/>
          <w:szCs w:val="32"/>
          <w:lang w:eastAsia="zh-CN"/>
        </w:rPr>
        <w:fldChar w:fldCharType="end"/>
      </w:r>
    </w:p>
    <w:p>
      <w:pPr>
        <w:pStyle w:val="7"/>
        <w:keepNext w:val="0"/>
        <w:keepLines w:val="0"/>
        <w:pageBreakBefore w:val="0"/>
        <w:widowControl w:val="0"/>
        <w:tabs>
          <w:tab w:val="right" w:pos="8844"/>
        </w:tabs>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_Toc30110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第七章  法律责任</w:t>
      </w:r>
      <w:r>
        <w:rPr>
          <w:rFonts w:hint="eastAsia" w:ascii="楷体" w:hAnsi="楷体" w:eastAsia="楷体" w:cs="楷体"/>
          <w:sz w:val="32"/>
          <w:szCs w:val="32"/>
          <w:lang w:eastAsia="zh-CN"/>
        </w:rPr>
        <w:fldChar w:fldCharType="end"/>
      </w:r>
    </w:p>
    <w:p>
      <w:pPr>
        <w:pStyle w:val="7"/>
        <w:keepNext w:val="0"/>
        <w:keepLines w:val="0"/>
        <w:pageBreakBefore w:val="0"/>
        <w:widowControl w:val="0"/>
        <w:tabs>
          <w:tab w:val="right" w:pos="8844"/>
        </w:tabs>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_Toc20173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第八章  附    则</w:t>
      </w:r>
      <w:r>
        <w:rPr>
          <w:rFonts w:hint="eastAsia" w:ascii="楷体" w:hAnsi="楷体" w:eastAsia="楷体" w:cs="楷体"/>
          <w:sz w:val="32"/>
          <w:szCs w:val="32"/>
          <w:lang w:eastAsia="zh-CN"/>
        </w:rPr>
        <w:fldChar w:fldCharType="end"/>
      </w:r>
    </w:p>
    <w:p>
      <w:pPr>
        <w:jc w:val="center"/>
        <w:rPr>
          <w:rFonts w:hint="eastAsia" w:ascii="楷体" w:hAnsi="楷体" w:eastAsia="楷体" w:cs="楷体"/>
          <w:sz w:val="32"/>
          <w:szCs w:val="32"/>
          <w:lang w:eastAsia="zh-CN"/>
        </w:rPr>
      </w:pPr>
      <w:r>
        <w:rPr>
          <w:rFonts w:hint="eastAsia" w:ascii="楷体" w:hAnsi="楷体" w:eastAsia="楷体" w:cs="楷体"/>
          <w:szCs w:val="32"/>
          <w:lang w:eastAsia="zh-CN"/>
        </w:rPr>
        <w:fldChar w:fldCharType="end"/>
      </w:r>
    </w:p>
    <w:p>
      <w:pPr>
        <w:pStyle w:val="2"/>
        <w:rPr>
          <w:rFonts w:hint="eastAsia"/>
        </w:rPr>
      </w:pPr>
      <w:bookmarkStart w:id="0" w:name="_Toc7539"/>
      <w:r>
        <w:rPr>
          <w:rFonts w:hint="eastAsia"/>
        </w:rPr>
        <w:t>第一章  总    则</w:t>
      </w:r>
      <w:bookmarkEnd w:id="0"/>
    </w:p>
    <w:p>
      <w:pPr>
        <w:ind w:firstLine="640" w:firstLineChars="200"/>
        <w:rPr>
          <w:rFonts w:hint="eastAsia" w:ascii="黑体" w:hAnsi="黑体" w:eastAsia="黑体" w:cs="黑体"/>
          <w:sz w:val="32"/>
          <w:szCs w:val="32"/>
          <w:lang w:eastAsia="zh-CN"/>
        </w:rPr>
      </w:pPr>
    </w:p>
    <w:p>
      <w:pPr>
        <w:ind w:firstLine="640" w:firstLineChars="200"/>
        <w:rPr>
          <w:rFonts w:hint="eastAsia" w:ascii="仿宋" w:hAnsi="仿宋" w:eastAsia="仿宋" w:cs="仿宋"/>
          <w:sz w:val="32"/>
          <w:szCs w:val="32"/>
        </w:rPr>
      </w:pPr>
      <w:r>
        <w:rPr>
          <w:rFonts w:hint="eastAsia" w:ascii="黑体" w:hAnsi="黑体" w:eastAsia="黑体" w:cs="黑体"/>
          <w:sz w:val="32"/>
          <w:szCs w:val="32"/>
          <w:lang w:eastAsia="zh-CN"/>
        </w:rPr>
        <w:t>第一条</w:t>
      </w:r>
      <w:r>
        <w:rPr>
          <w:rFonts w:hint="eastAsia" w:ascii="仿宋" w:hAnsi="仿宋" w:eastAsia="仿宋" w:cs="仿宋"/>
          <w:sz w:val="32"/>
          <w:szCs w:val="32"/>
        </w:rPr>
        <w:t xml:space="preserve"> 为了规范会计行为，保证会计资料真实、完整，加强经济管理和财务管理，提高经济效益，发挥会计在维护社会主义市场经济秩序中的作用，根据《中华人民共和国会计法》（以下简称《会计法》）和有关法律、法规，结合本省实际，制定本条例。</w:t>
      </w:r>
    </w:p>
    <w:p>
      <w:pPr>
        <w:ind w:firstLine="640" w:firstLineChars="200"/>
        <w:rPr>
          <w:rFonts w:hint="eastAsia" w:ascii="仿宋" w:hAnsi="仿宋" w:eastAsia="仿宋" w:cs="仿宋"/>
          <w:sz w:val="32"/>
          <w:szCs w:val="32"/>
        </w:rPr>
      </w:pPr>
      <w:r>
        <w:rPr>
          <w:rFonts w:hint="eastAsia" w:ascii="黑体" w:hAnsi="黑体" w:eastAsia="黑体" w:cs="黑体"/>
          <w:sz w:val="32"/>
          <w:szCs w:val="32"/>
          <w:lang w:eastAsia="zh-CN"/>
        </w:rPr>
        <w:t>第二条</w:t>
      </w:r>
      <w:r>
        <w:rPr>
          <w:rFonts w:hint="eastAsia" w:ascii="仿宋" w:hAnsi="仿宋" w:eastAsia="仿宋" w:cs="仿宋"/>
          <w:sz w:val="32"/>
          <w:szCs w:val="32"/>
        </w:rPr>
        <w:t xml:space="preserve">  本省行政区域内的国家机关、社会团体、公司、企业、事业单位和其他组织（以下统称单位）实施会计管理、办理会计事务，应当遵守《会计法》和本条例。</w:t>
      </w:r>
    </w:p>
    <w:p>
      <w:pPr>
        <w:ind w:firstLine="640" w:firstLineChars="200"/>
        <w:rPr>
          <w:rFonts w:hint="eastAsia" w:ascii="仿宋" w:hAnsi="仿宋" w:eastAsia="仿宋" w:cs="仿宋"/>
          <w:sz w:val="32"/>
          <w:szCs w:val="32"/>
        </w:rPr>
      </w:pPr>
      <w:r>
        <w:rPr>
          <w:rFonts w:hint="eastAsia" w:ascii="黑体" w:hAnsi="黑体" w:eastAsia="黑体" w:cs="黑体"/>
          <w:sz w:val="32"/>
          <w:szCs w:val="32"/>
          <w:lang w:eastAsia="zh-CN"/>
        </w:rPr>
        <w:t>第三条</w:t>
      </w:r>
      <w:r>
        <w:rPr>
          <w:rFonts w:hint="eastAsia" w:ascii="仿宋" w:hAnsi="仿宋" w:eastAsia="仿宋" w:cs="仿宋"/>
          <w:sz w:val="32"/>
          <w:szCs w:val="32"/>
        </w:rPr>
        <w:t xml:space="preserve">  省、设区的市（以下简称市）、县（含县级市、区，下同）人民政府财政部门（以下简称财政部门）负责管理本行政区域内的会计工作。</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县以上财政部门在管理会计工作中依法履行下列职责：</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（一）组织实施会计法律、法规和国家统一的会计制度，制定会计工作管理制度，监督指导单位执行会计制度；</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（二）组织会计从业资格考试，证书颁发、注册登记、信息变更及其查验和吊销等事项；</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（三）组织会计专业技术资格考试，按规定组织会计专业技术资格评审工作；</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（四）监督管理会计人员继续教育工作；</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（五）监督管理会计中介机构；</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（六）监督指导会计行业组织；</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（七）监督检查会计信息质量，查处会计违法行为；</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（八）法律、法规和国家统一的会计制度规定的其他职责。</w:t>
      </w:r>
    </w:p>
    <w:p>
      <w:pPr>
        <w:ind w:firstLine="640" w:firstLineChars="200"/>
        <w:rPr>
          <w:rFonts w:hint="eastAsia" w:ascii="仿宋" w:hAnsi="仿宋" w:eastAsia="仿宋" w:cs="仿宋"/>
          <w:sz w:val="32"/>
          <w:szCs w:val="32"/>
        </w:rPr>
      </w:pPr>
      <w:r>
        <w:rPr>
          <w:rFonts w:hint="eastAsia" w:ascii="黑体" w:hAnsi="黑体" w:eastAsia="黑体" w:cs="黑体"/>
          <w:sz w:val="32"/>
          <w:szCs w:val="32"/>
          <w:lang w:eastAsia="zh-CN"/>
        </w:rPr>
        <w:t>第四条</w:t>
      </w:r>
      <w:r>
        <w:rPr>
          <w:rFonts w:hint="eastAsia" w:ascii="仿宋" w:hAnsi="仿宋" w:eastAsia="仿宋" w:cs="仿宋"/>
          <w:sz w:val="32"/>
          <w:szCs w:val="32"/>
        </w:rPr>
        <w:t xml:space="preserve">  会计人员应当依法履行职责，忠于职守，坚持原则。</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县以上人民政府及其有关部门对做出显著成绩的会计机构、会计人员，应当给予表彰奖励。</w:t>
      </w:r>
    </w:p>
    <w:p>
      <w:pPr>
        <w:pStyle w:val="2"/>
        <w:rPr>
          <w:rFonts w:hint="eastAsia"/>
        </w:rPr>
      </w:pPr>
      <w:bookmarkStart w:id="1" w:name="_Toc20279"/>
    </w:p>
    <w:p>
      <w:pPr>
        <w:pStyle w:val="2"/>
        <w:rPr>
          <w:rFonts w:hint="eastAsia"/>
        </w:rPr>
      </w:pPr>
      <w:r>
        <w:rPr>
          <w:rFonts w:hint="eastAsia"/>
        </w:rPr>
        <w:t>第二章  单位负责人的会计责任</w:t>
      </w:r>
      <w:bookmarkEnd w:id="1"/>
    </w:p>
    <w:p>
      <w:pPr>
        <w:ind w:firstLine="640" w:firstLineChars="200"/>
        <w:rPr>
          <w:rFonts w:hint="eastAsia" w:ascii="黑体" w:hAnsi="黑体" w:eastAsia="黑体" w:cs="黑体"/>
          <w:sz w:val="32"/>
          <w:szCs w:val="32"/>
          <w:lang w:eastAsia="zh-CN"/>
        </w:rPr>
      </w:pPr>
    </w:p>
    <w:p>
      <w:pPr>
        <w:ind w:firstLine="640" w:firstLineChars="200"/>
        <w:rPr>
          <w:rFonts w:hint="eastAsia" w:ascii="仿宋" w:hAnsi="仿宋" w:eastAsia="仿宋" w:cs="仿宋"/>
          <w:sz w:val="32"/>
          <w:szCs w:val="32"/>
        </w:rPr>
      </w:pPr>
      <w:r>
        <w:rPr>
          <w:rFonts w:hint="eastAsia" w:ascii="黑体" w:hAnsi="黑体" w:eastAsia="黑体" w:cs="黑体"/>
          <w:sz w:val="32"/>
          <w:szCs w:val="32"/>
          <w:lang w:eastAsia="zh-CN"/>
        </w:rPr>
        <w:t>第五条</w:t>
      </w:r>
      <w:r>
        <w:rPr>
          <w:rFonts w:hint="eastAsia" w:ascii="仿宋" w:hAnsi="仿宋" w:eastAsia="仿宋" w:cs="仿宋"/>
          <w:sz w:val="32"/>
          <w:szCs w:val="32"/>
        </w:rPr>
        <w:t xml:space="preserve">  单位负责人是指单位法定代表人或者法律、法规规定代表单位行使职权的主要负责人。</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单位负责人应当按照《会计法》要求，加强对单位会计工作的组织领导，建立健全单位会计核算、监督等管理制度，对单位会计工作和会计资料的真实性、完整性、合法性负责。</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单位负责人不得兼任会计机构负责人。</w:t>
      </w:r>
    </w:p>
    <w:p>
      <w:pPr>
        <w:ind w:firstLine="640" w:firstLineChars="200"/>
        <w:rPr>
          <w:rFonts w:hint="eastAsia" w:ascii="仿宋" w:hAnsi="仿宋" w:eastAsia="仿宋" w:cs="仿宋"/>
          <w:sz w:val="32"/>
          <w:szCs w:val="32"/>
        </w:rPr>
      </w:pPr>
      <w:r>
        <w:rPr>
          <w:rFonts w:hint="eastAsia" w:ascii="黑体" w:hAnsi="黑体" w:eastAsia="黑体" w:cs="黑体"/>
          <w:sz w:val="32"/>
          <w:szCs w:val="32"/>
          <w:lang w:eastAsia="zh-CN"/>
        </w:rPr>
        <w:t>第六条</w:t>
      </w:r>
      <w:r>
        <w:rPr>
          <w:rFonts w:hint="eastAsia" w:ascii="仿宋" w:hAnsi="仿宋" w:eastAsia="仿宋" w:cs="仿宋"/>
          <w:sz w:val="32"/>
          <w:szCs w:val="32"/>
        </w:rPr>
        <w:t xml:space="preserve">  单位负责人应当支持和保障会计人员依法履行职责，对会计机构、会计人员发现并制止无效的会计违法事项，应当及时做出处理决定。不得授意、指使、强令会计人员违法办理会计事项。</w:t>
      </w:r>
    </w:p>
    <w:p>
      <w:pPr>
        <w:ind w:firstLine="640" w:firstLineChars="200"/>
        <w:rPr>
          <w:rFonts w:hint="eastAsia" w:ascii="仿宋" w:hAnsi="仿宋" w:eastAsia="仿宋" w:cs="仿宋"/>
          <w:sz w:val="32"/>
          <w:szCs w:val="32"/>
        </w:rPr>
      </w:pPr>
      <w:r>
        <w:rPr>
          <w:rFonts w:hint="eastAsia" w:ascii="黑体" w:hAnsi="黑体" w:eastAsia="黑体" w:cs="黑体"/>
          <w:sz w:val="32"/>
          <w:szCs w:val="32"/>
          <w:lang w:eastAsia="zh-CN"/>
        </w:rPr>
        <w:t>第七条</w:t>
      </w:r>
      <w:r>
        <w:rPr>
          <w:rFonts w:hint="eastAsia" w:ascii="仿宋" w:hAnsi="仿宋" w:eastAsia="仿宋" w:cs="仿宋"/>
          <w:sz w:val="32"/>
          <w:szCs w:val="32"/>
        </w:rPr>
        <w:t xml:space="preserve">  单位负责人或者其授权的人员在处理报销凭证、资产核销、对外投资等经济业务事项时，应当签署明确的意见。</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对单位负责人或者其授权的人员拒不签署或者签署意见不符合规定的，会计机构、会计人员有权拒绝办理。</w:t>
      </w:r>
    </w:p>
    <w:p>
      <w:pPr>
        <w:pStyle w:val="2"/>
        <w:rPr>
          <w:rFonts w:hint="eastAsia"/>
        </w:rPr>
      </w:pPr>
      <w:bookmarkStart w:id="2" w:name="_Toc21255"/>
    </w:p>
    <w:p>
      <w:pPr>
        <w:pStyle w:val="2"/>
        <w:rPr>
          <w:rFonts w:hint="eastAsia"/>
        </w:rPr>
      </w:pPr>
      <w:r>
        <w:rPr>
          <w:rFonts w:hint="eastAsia"/>
        </w:rPr>
        <w:t>第三章  会计机构和会计人员</w:t>
      </w:r>
      <w:bookmarkEnd w:id="2"/>
    </w:p>
    <w:p>
      <w:pPr>
        <w:ind w:firstLine="640" w:firstLineChars="200"/>
        <w:rPr>
          <w:rFonts w:hint="eastAsia" w:ascii="黑体" w:hAnsi="黑体" w:eastAsia="黑体" w:cs="黑体"/>
          <w:sz w:val="32"/>
          <w:szCs w:val="32"/>
          <w:lang w:eastAsia="zh-CN"/>
        </w:rPr>
      </w:pPr>
    </w:p>
    <w:p>
      <w:pPr>
        <w:ind w:firstLine="640" w:firstLineChars="200"/>
        <w:rPr>
          <w:rFonts w:hint="eastAsia" w:ascii="仿宋" w:hAnsi="仿宋" w:eastAsia="仿宋" w:cs="仿宋"/>
          <w:sz w:val="32"/>
          <w:szCs w:val="32"/>
        </w:rPr>
      </w:pPr>
      <w:r>
        <w:rPr>
          <w:rFonts w:hint="eastAsia" w:ascii="黑体" w:hAnsi="黑体" w:eastAsia="黑体" w:cs="黑体"/>
          <w:sz w:val="32"/>
          <w:szCs w:val="32"/>
          <w:lang w:eastAsia="zh-CN"/>
        </w:rPr>
        <w:t>第八条</w:t>
      </w:r>
      <w:r>
        <w:rPr>
          <w:rFonts w:hint="eastAsia" w:ascii="仿宋" w:hAnsi="仿宋" w:eastAsia="仿宋" w:cs="仿宋"/>
          <w:sz w:val="32"/>
          <w:szCs w:val="32"/>
        </w:rPr>
        <w:t xml:space="preserve">  从事会计工作的人员应当取得会计从业资格证书。会计从业资格证书应当按照国家有关规定在财政部门办理注册登记。</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单位不得任用未取得会计从业资格证书的人员从事会计工作。</w:t>
      </w:r>
    </w:p>
    <w:p>
      <w:pPr>
        <w:ind w:firstLine="640" w:firstLineChars="200"/>
        <w:rPr>
          <w:rFonts w:hint="eastAsia" w:ascii="仿宋" w:hAnsi="仿宋" w:eastAsia="仿宋" w:cs="仿宋"/>
          <w:sz w:val="32"/>
          <w:szCs w:val="32"/>
        </w:rPr>
      </w:pPr>
      <w:r>
        <w:rPr>
          <w:rFonts w:hint="eastAsia" w:ascii="黑体" w:hAnsi="黑体" w:eastAsia="黑体" w:cs="黑体"/>
          <w:sz w:val="32"/>
          <w:szCs w:val="32"/>
          <w:lang w:eastAsia="zh-CN"/>
        </w:rPr>
        <w:t>第九条</w:t>
      </w:r>
      <w:r>
        <w:rPr>
          <w:rFonts w:hint="eastAsia" w:ascii="仿宋" w:hAnsi="仿宋" w:eastAsia="仿宋" w:cs="仿宋"/>
          <w:sz w:val="32"/>
          <w:szCs w:val="32"/>
        </w:rPr>
        <w:t xml:space="preserve">  会计机构和会计人员应当履行下列职责：</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（一）执行会计法律、法规和国家统一的会计制度；</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（二）拟订会计工作制度；</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（三）如实核算、反映、监督财务收支和经营状况，提供真实、准确、完整的会计资料，并按照规定妥善保管；</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（四）按照规定及时办理税金、国有资产收益、其他财政收入的缴纳事项；</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（五）参与拟订有关财务收支、资金使用、财产保管等内容的重要经济合同，定期检查、分析预算和财务计划的执行情况；</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（六）参与拟订筹资、投资、产品开发以及设备更新、技术改造等经济决策方案；</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（七）法律、法规规定的其他职责。</w:t>
      </w:r>
    </w:p>
    <w:p>
      <w:pPr>
        <w:ind w:firstLine="640" w:firstLineChars="200"/>
        <w:rPr>
          <w:rFonts w:hint="eastAsia" w:ascii="仿宋" w:hAnsi="仿宋" w:eastAsia="仿宋" w:cs="仿宋"/>
          <w:sz w:val="32"/>
          <w:szCs w:val="32"/>
        </w:rPr>
      </w:pPr>
      <w:r>
        <w:rPr>
          <w:rFonts w:hint="eastAsia" w:ascii="黑体" w:hAnsi="黑体" w:eastAsia="黑体" w:cs="黑体"/>
          <w:sz w:val="32"/>
          <w:szCs w:val="32"/>
          <w:lang w:eastAsia="zh-CN"/>
        </w:rPr>
        <w:t>第十条</w:t>
      </w:r>
      <w:r>
        <w:rPr>
          <w:rFonts w:hint="eastAsia" w:ascii="仿宋" w:hAnsi="仿宋" w:eastAsia="仿宋" w:cs="仿宋"/>
          <w:sz w:val="32"/>
          <w:szCs w:val="32"/>
        </w:rPr>
        <w:t xml:space="preserve">  国家机关、国家出资企业、事业单位任用会计人员，应当实行回避制度。</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前款所述单位负责人、主管会计工作负责人、会计机构负责人的配偶、直系血亲、三代以内旁系血亲、直系姻亲，不得在本单位从事会计工作。</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其他单位可以参照本制度执行。</w:t>
      </w:r>
    </w:p>
    <w:p>
      <w:pPr>
        <w:ind w:firstLine="640" w:firstLineChars="200"/>
        <w:rPr>
          <w:rFonts w:hint="eastAsia" w:ascii="仿宋" w:hAnsi="仿宋" w:eastAsia="仿宋" w:cs="仿宋"/>
          <w:sz w:val="32"/>
          <w:szCs w:val="32"/>
        </w:rPr>
      </w:pPr>
      <w:r>
        <w:rPr>
          <w:rFonts w:hint="eastAsia" w:ascii="黑体" w:hAnsi="黑体" w:eastAsia="黑体" w:cs="黑体"/>
          <w:sz w:val="32"/>
          <w:szCs w:val="32"/>
          <w:lang w:eastAsia="zh-CN"/>
        </w:rPr>
        <w:t>第十一条</w:t>
      </w:r>
      <w:r>
        <w:rPr>
          <w:rFonts w:hint="eastAsia" w:ascii="仿宋" w:hAnsi="仿宋" w:eastAsia="仿宋" w:cs="仿宋"/>
          <w:sz w:val="32"/>
          <w:szCs w:val="32"/>
        </w:rPr>
        <w:t xml:space="preserve">  国有的和国有资产占控股、主导地位的大中型企业及上市公司中的大中型企业应当设置总会计师（含财务总监，下同）。事业单位根据需要，经批准可以设置总会计师。</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总会计师的职责按照国家有关规定执行。</w:t>
      </w:r>
    </w:p>
    <w:p>
      <w:pPr>
        <w:ind w:firstLine="640" w:firstLineChars="200"/>
        <w:rPr>
          <w:rFonts w:hint="eastAsia" w:ascii="仿宋" w:hAnsi="仿宋" w:eastAsia="仿宋" w:cs="仿宋"/>
          <w:sz w:val="32"/>
          <w:szCs w:val="32"/>
        </w:rPr>
      </w:pPr>
      <w:r>
        <w:rPr>
          <w:rFonts w:hint="eastAsia" w:ascii="黑体" w:hAnsi="黑体" w:eastAsia="黑体" w:cs="黑体"/>
          <w:sz w:val="32"/>
          <w:szCs w:val="32"/>
          <w:lang w:eastAsia="zh-CN"/>
        </w:rPr>
        <w:t>第十二条</w:t>
      </w:r>
      <w:r>
        <w:rPr>
          <w:rFonts w:hint="eastAsia" w:ascii="仿宋" w:hAnsi="仿宋" w:eastAsia="仿宋" w:cs="仿宋"/>
          <w:sz w:val="32"/>
          <w:szCs w:val="32"/>
        </w:rPr>
        <w:t xml:space="preserve">  设置多个会计工作岗位的单位，应当有计划地进行内部会计岗位轮换。会计机构负责人工作变动，应当经单位领导集体研究决定。</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会计人员工作变动，应当按时办清移交手续并对所移交的会计凭证、会计账簿和其他有关资料的真实性、完整性负责；未办清移交手续的，不得调动或者离职。</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会计人员出现擅自离职或者失踪、死亡等情况的，由单位主管会计工作负责人、会计机构负责人组织清理有关会计事项，编制移交清册，办理移交手续。</w:t>
      </w:r>
    </w:p>
    <w:p>
      <w:pPr>
        <w:ind w:firstLine="640" w:firstLineChars="200"/>
        <w:rPr>
          <w:rFonts w:hint="eastAsia" w:ascii="仿宋" w:hAnsi="仿宋" w:eastAsia="仿宋" w:cs="仿宋"/>
          <w:sz w:val="32"/>
          <w:szCs w:val="32"/>
        </w:rPr>
      </w:pPr>
      <w:r>
        <w:rPr>
          <w:rFonts w:hint="eastAsia" w:ascii="黑体" w:hAnsi="黑体" w:eastAsia="黑体" w:cs="黑体"/>
          <w:sz w:val="32"/>
          <w:szCs w:val="32"/>
          <w:lang w:eastAsia="zh-CN"/>
        </w:rPr>
        <w:t>第十三条</w:t>
      </w:r>
      <w:r>
        <w:rPr>
          <w:rFonts w:hint="eastAsia" w:ascii="仿宋" w:hAnsi="仿宋" w:eastAsia="仿宋" w:cs="仿宋"/>
          <w:sz w:val="32"/>
          <w:szCs w:val="32"/>
        </w:rPr>
        <w:t xml:space="preserve">  单位应当支持会计人员通过多种方式参加会计继续教育。会计人员应当按照国家有关规定接受会计继续教育。财政部门应当将会计人员接受继续教育情况列入会计从业资格情况检查的内容。会计人员所在单位应当将会计人员接受继续教育情况作为会计人员任职、晋升的依据之一。</w:t>
      </w:r>
    </w:p>
    <w:p>
      <w:pPr>
        <w:pStyle w:val="2"/>
        <w:rPr>
          <w:rFonts w:hint="eastAsia"/>
        </w:rPr>
      </w:pPr>
      <w:bookmarkStart w:id="3" w:name="_Toc17709"/>
    </w:p>
    <w:p>
      <w:pPr>
        <w:pStyle w:val="2"/>
        <w:rPr>
          <w:rFonts w:hint="eastAsia"/>
        </w:rPr>
      </w:pPr>
      <w:r>
        <w:rPr>
          <w:rFonts w:hint="eastAsia"/>
        </w:rPr>
        <w:t>第四章  会计核算</w:t>
      </w:r>
      <w:bookmarkEnd w:id="3"/>
    </w:p>
    <w:p>
      <w:pPr>
        <w:ind w:firstLine="640" w:firstLineChars="200"/>
        <w:rPr>
          <w:rFonts w:hint="eastAsia" w:ascii="黑体" w:hAnsi="黑体" w:eastAsia="黑体" w:cs="黑体"/>
          <w:sz w:val="32"/>
          <w:szCs w:val="32"/>
          <w:lang w:eastAsia="zh-CN"/>
        </w:rPr>
      </w:pPr>
    </w:p>
    <w:p>
      <w:pPr>
        <w:ind w:firstLine="640" w:firstLineChars="200"/>
        <w:rPr>
          <w:rFonts w:hint="eastAsia" w:ascii="仿宋" w:hAnsi="仿宋" w:eastAsia="仿宋" w:cs="仿宋"/>
          <w:sz w:val="32"/>
          <w:szCs w:val="32"/>
        </w:rPr>
      </w:pPr>
      <w:r>
        <w:rPr>
          <w:rFonts w:hint="eastAsia" w:ascii="黑体" w:hAnsi="黑体" w:eastAsia="黑体" w:cs="黑体"/>
          <w:sz w:val="32"/>
          <w:szCs w:val="32"/>
          <w:lang w:eastAsia="zh-CN"/>
        </w:rPr>
        <w:t>第十四条</w:t>
      </w:r>
      <w:r>
        <w:rPr>
          <w:rFonts w:hint="eastAsia" w:ascii="仿宋" w:hAnsi="仿宋" w:eastAsia="仿宋" w:cs="仿宋"/>
          <w:sz w:val="32"/>
          <w:szCs w:val="32"/>
        </w:rPr>
        <w:t xml:space="preserve">  单位应当根据国家统一的会计制度进行会计核算，提供真实、完整、准确的会计信息。</w:t>
      </w:r>
    </w:p>
    <w:p>
      <w:pPr>
        <w:ind w:firstLine="640" w:firstLineChars="200"/>
        <w:rPr>
          <w:rFonts w:hint="eastAsia" w:ascii="仿宋" w:hAnsi="仿宋" w:eastAsia="仿宋" w:cs="仿宋"/>
          <w:sz w:val="32"/>
          <w:szCs w:val="32"/>
        </w:rPr>
      </w:pPr>
      <w:r>
        <w:rPr>
          <w:rFonts w:hint="eastAsia" w:ascii="黑体" w:hAnsi="黑体" w:eastAsia="黑体" w:cs="黑体"/>
          <w:sz w:val="32"/>
          <w:szCs w:val="32"/>
          <w:lang w:eastAsia="zh-CN"/>
        </w:rPr>
        <w:t>第十五条</w:t>
      </w:r>
      <w:r>
        <w:rPr>
          <w:rFonts w:hint="eastAsia" w:ascii="仿宋" w:hAnsi="仿宋" w:eastAsia="仿宋" w:cs="仿宋"/>
          <w:sz w:val="32"/>
          <w:szCs w:val="32"/>
        </w:rPr>
        <w:t xml:space="preserve">  单位应当根据实际发生的经济业务事项进行会计核算，填制会计凭证，登记会计账簿，编制财务会计报告。</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单位不得以虚假的经济业务事项或者资料进行会计核算，不得有下列行为：</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（一）伪造、变造会计凭证、会计账簿，编制虚假财务会计报告；隐匿或者故意销毁依法应当保存的会计凭证、会计账簿、财务会计报告；</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（二）擅自改变会计要素的确认和计量标准；</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（三）擅自改变财务会计报告编制基础、编制依据、编制原则和方法；</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（四）设置账外账或者保留账外资金、资产；</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（五）法律、法规禁止的其他行为。</w:t>
      </w:r>
    </w:p>
    <w:p>
      <w:pPr>
        <w:ind w:firstLine="640" w:firstLineChars="200"/>
        <w:rPr>
          <w:rFonts w:hint="eastAsia" w:ascii="仿宋" w:hAnsi="仿宋" w:eastAsia="仿宋" w:cs="仿宋"/>
          <w:sz w:val="32"/>
          <w:szCs w:val="32"/>
        </w:rPr>
      </w:pPr>
      <w:r>
        <w:rPr>
          <w:rFonts w:hint="eastAsia" w:ascii="黑体" w:hAnsi="黑体" w:eastAsia="黑体" w:cs="黑体"/>
          <w:sz w:val="32"/>
          <w:szCs w:val="32"/>
          <w:lang w:eastAsia="zh-CN"/>
        </w:rPr>
        <w:t>第十六条</w:t>
      </w:r>
      <w:r>
        <w:rPr>
          <w:rFonts w:hint="eastAsia" w:ascii="仿宋" w:hAnsi="仿宋" w:eastAsia="仿宋" w:cs="仿宋"/>
          <w:sz w:val="32"/>
          <w:szCs w:val="32"/>
        </w:rPr>
        <w:t xml:space="preserve">  会计机构、会计人员应当根据经过审核的原始凭证及有关资料填制记账凭证。</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任何单位和个人不得出具或者使用不真实、不合法的原始凭证。</w:t>
      </w:r>
    </w:p>
    <w:p>
      <w:pPr>
        <w:ind w:firstLine="640" w:firstLineChars="200"/>
        <w:rPr>
          <w:rFonts w:hint="eastAsia" w:ascii="仿宋" w:hAnsi="仿宋" w:eastAsia="仿宋" w:cs="仿宋"/>
          <w:sz w:val="32"/>
          <w:szCs w:val="32"/>
        </w:rPr>
      </w:pPr>
      <w:r>
        <w:rPr>
          <w:rFonts w:hint="eastAsia" w:ascii="黑体" w:hAnsi="黑体" w:eastAsia="黑体" w:cs="黑体"/>
          <w:sz w:val="32"/>
          <w:szCs w:val="32"/>
          <w:lang w:eastAsia="zh-CN"/>
        </w:rPr>
        <w:t>第十七条</w:t>
      </w:r>
      <w:r>
        <w:rPr>
          <w:rFonts w:hint="eastAsia" w:ascii="仿宋" w:hAnsi="仿宋" w:eastAsia="仿宋" w:cs="仿宋"/>
          <w:sz w:val="32"/>
          <w:szCs w:val="32"/>
        </w:rPr>
        <w:t xml:space="preserve">  使用计算机进行会计核算的单位，应当按照国家有关规定建立健全会计电算化岗位责任、操作管理、计算机硬软件和数据管理等会计电算化内部管理制度。</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有关会计数据应当及时备份，确保会计数据安全。</w:t>
      </w:r>
    </w:p>
    <w:p>
      <w:pPr>
        <w:ind w:firstLine="640" w:firstLineChars="200"/>
        <w:rPr>
          <w:rFonts w:hint="eastAsia" w:ascii="仿宋" w:hAnsi="仿宋" w:eastAsia="仿宋" w:cs="仿宋"/>
          <w:sz w:val="32"/>
          <w:szCs w:val="32"/>
        </w:rPr>
      </w:pPr>
      <w:r>
        <w:rPr>
          <w:rFonts w:hint="eastAsia" w:ascii="黑体" w:hAnsi="黑体" w:eastAsia="黑体" w:cs="黑体"/>
          <w:sz w:val="32"/>
          <w:szCs w:val="32"/>
          <w:lang w:eastAsia="zh-CN"/>
        </w:rPr>
        <w:t>第十八条</w:t>
      </w:r>
      <w:r>
        <w:rPr>
          <w:rFonts w:hint="eastAsia" w:ascii="仿宋" w:hAnsi="仿宋" w:eastAsia="仿宋" w:cs="仿宋"/>
          <w:sz w:val="32"/>
          <w:szCs w:val="32"/>
        </w:rPr>
        <w:t xml:space="preserve">  单位应当按照国家有关规定，建立健全会计档案的立卷、归档、保管、调阅和销毁等制度，并定期向本单位档案机构移交，由其统一保管。未设立档案机构的，应当在会计机构内部指定专人保管。</w:t>
      </w:r>
    </w:p>
    <w:p>
      <w:pPr>
        <w:pStyle w:val="2"/>
        <w:rPr>
          <w:rFonts w:hint="eastAsia"/>
        </w:rPr>
      </w:pPr>
      <w:bookmarkStart w:id="4" w:name="_Toc23333"/>
    </w:p>
    <w:p>
      <w:pPr>
        <w:pStyle w:val="2"/>
        <w:rPr>
          <w:rFonts w:hint="eastAsia"/>
        </w:rPr>
      </w:pPr>
      <w:r>
        <w:rPr>
          <w:rFonts w:hint="eastAsia"/>
        </w:rPr>
        <w:t>第五章  代理记账</w:t>
      </w:r>
      <w:bookmarkEnd w:id="4"/>
    </w:p>
    <w:p>
      <w:pPr>
        <w:ind w:firstLine="640" w:firstLineChars="200"/>
        <w:rPr>
          <w:rFonts w:hint="eastAsia" w:ascii="黑体" w:hAnsi="黑体" w:eastAsia="黑体" w:cs="黑体"/>
          <w:sz w:val="32"/>
          <w:szCs w:val="32"/>
          <w:lang w:eastAsia="zh-CN"/>
        </w:rPr>
      </w:pPr>
    </w:p>
    <w:p>
      <w:pPr>
        <w:ind w:firstLine="640" w:firstLineChars="200"/>
        <w:rPr>
          <w:rFonts w:hint="eastAsia" w:ascii="仿宋" w:hAnsi="仿宋" w:eastAsia="仿宋" w:cs="仿宋"/>
          <w:sz w:val="32"/>
          <w:szCs w:val="32"/>
        </w:rPr>
      </w:pPr>
      <w:r>
        <w:rPr>
          <w:rFonts w:hint="eastAsia" w:ascii="黑体" w:hAnsi="黑体" w:eastAsia="黑体" w:cs="黑体"/>
          <w:sz w:val="32"/>
          <w:szCs w:val="32"/>
          <w:lang w:eastAsia="zh-CN"/>
        </w:rPr>
        <w:t>第十九条</w:t>
      </w:r>
      <w:r>
        <w:rPr>
          <w:rFonts w:hint="eastAsia" w:ascii="仿宋" w:hAnsi="仿宋" w:eastAsia="仿宋" w:cs="仿宋"/>
          <w:sz w:val="32"/>
          <w:szCs w:val="32"/>
        </w:rPr>
        <w:t xml:space="preserve">  代理记账机构应当经市财政部门依法批准，并领取财政部统一印制的代理记账许可证书后，方可从事代理记账业务。</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委托代理记账的单位（以下简称委托人）委托代理记账机构代理记账，应当在相互协商的基础上，订立书面委托合同。</w:t>
      </w:r>
    </w:p>
    <w:p>
      <w:pPr>
        <w:ind w:firstLine="640" w:firstLineChars="200"/>
        <w:rPr>
          <w:rFonts w:hint="eastAsia" w:ascii="仿宋" w:hAnsi="仿宋" w:eastAsia="仿宋" w:cs="仿宋"/>
          <w:sz w:val="32"/>
          <w:szCs w:val="32"/>
        </w:rPr>
      </w:pPr>
      <w:r>
        <w:rPr>
          <w:rFonts w:hint="eastAsia" w:ascii="黑体" w:hAnsi="黑体" w:eastAsia="黑体" w:cs="黑体"/>
          <w:sz w:val="32"/>
          <w:szCs w:val="32"/>
          <w:lang w:eastAsia="zh-CN"/>
        </w:rPr>
        <w:t>第二十条</w:t>
      </w:r>
      <w:r>
        <w:rPr>
          <w:rFonts w:hint="eastAsia" w:ascii="仿宋" w:hAnsi="仿宋" w:eastAsia="仿宋" w:cs="仿宋"/>
          <w:sz w:val="32"/>
          <w:szCs w:val="32"/>
        </w:rPr>
        <w:t xml:space="preserve">  委托人应当履行下列职责：</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（一）对本单位发生的经济业务事项，填制或者取得符合国家统一的会计制度规定的原始凭证；</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（二）配备专人负责日常货币收支和保管；</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（三）及时向代理记账机构提供真实、完整的原始凭证和其他相关资料；</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（四）对于代理记账机构退回的要求按照国家统一的会计制度规定进行更正、补充的原始凭证，及时予以更正、补充。</w:t>
      </w:r>
    </w:p>
    <w:p>
      <w:pPr>
        <w:ind w:firstLine="640" w:firstLineChars="200"/>
        <w:rPr>
          <w:rFonts w:hint="eastAsia" w:ascii="仿宋" w:hAnsi="仿宋" w:eastAsia="仿宋" w:cs="仿宋"/>
          <w:sz w:val="32"/>
          <w:szCs w:val="32"/>
        </w:rPr>
      </w:pPr>
      <w:r>
        <w:rPr>
          <w:rFonts w:hint="eastAsia" w:ascii="黑体" w:hAnsi="黑体" w:eastAsia="黑体" w:cs="黑体"/>
          <w:sz w:val="32"/>
          <w:szCs w:val="32"/>
          <w:lang w:eastAsia="zh-CN"/>
        </w:rPr>
        <w:t>第二十一条</w:t>
      </w:r>
      <w:r>
        <w:rPr>
          <w:rFonts w:hint="eastAsia" w:ascii="仿宋" w:hAnsi="仿宋" w:eastAsia="仿宋" w:cs="仿宋"/>
          <w:sz w:val="32"/>
          <w:szCs w:val="32"/>
        </w:rPr>
        <w:t xml:space="preserve">  代理记账机构及其从业人员应当履行下列职责：</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（一）执行有关法律、法规和国家统一的会计制度，按照委托合同办理代理记账业务；</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（二）不得为委托人填制原始凭证；</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（三）不得接受委托人提供的虚假会计资料和不当会计处理要求；</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（四）对委托人的商业秘密给予保密。</w:t>
      </w:r>
    </w:p>
    <w:p>
      <w:pPr>
        <w:ind w:firstLine="640" w:firstLineChars="200"/>
        <w:rPr>
          <w:rFonts w:hint="eastAsia" w:ascii="仿宋" w:hAnsi="仿宋" w:eastAsia="仿宋" w:cs="仿宋"/>
          <w:sz w:val="32"/>
          <w:szCs w:val="32"/>
        </w:rPr>
      </w:pPr>
      <w:r>
        <w:rPr>
          <w:rFonts w:hint="eastAsia" w:ascii="黑体" w:hAnsi="黑体" w:eastAsia="黑体" w:cs="黑体"/>
          <w:sz w:val="32"/>
          <w:szCs w:val="32"/>
          <w:lang w:eastAsia="zh-CN"/>
        </w:rPr>
        <w:t>第二十二条</w:t>
      </w:r>
      <w:r>
        <w:rPr>
          <w:rFonts w:hint="eastAsia" w:ascii="仿宋" w:hAnsi="仿宋" w:eastAsia="仿宋" w:cs="仿宋"/>
          <w:sz w:val="32"/>
          <w:szCs w:val="32"/>
        </w:rPr>
        <w:t xml:space="preserve">  代理记账机构为委托人编制的财务会计报告，经代理记账机构负责人和委托人共同签署并盖章后，按照有关法律、法规和国家统一的会计制度的规定对外提供。</w:t>
      </w:r>
    </w:p>
    <w:p>
      <w:pPr>
        <w:ind w:firstLine="640" w:firstLineChars="200"/>
        <w:rPr>
          <w:rFonts w:hint="eastAsia" w:ascii="仿宋" w:hAnsi="仿宋" w:eastAsia="仿宋" w:cs="仿宋"/>
          <w:sz w:val="32"/>
          <w:szCs w:val="32"/>
        </w:rPr>
      </w:pPr>
      <w:r>
        <w:rPr>
          <w:rFonts w:hint="eastAsia" w:ascii="黑体" w:hAnsi="黑体" w:eastAsia="黑体" w:cs="黑体"/>
          <w:sz w:val="32"/>
          <w:szCs w:val="32"/>
          <w:lang w:eastAsia="zh-CN"/>
        </w:rPr>
        <w:t xml:space="preserve">第二十三条 </w:t>
      </w:r>
      <w:r>
        <w:rPr>
          <w:rFonts w:hint="eastAsia" w:ascii="仿宋" w:hAnsi="仿宋" w:eastAsia="仿宋" w:cs="仿宋"/>
          <w:sz w:val="32"/>
          <w:szCs w:val="32"/>
        </w:rPr>
        <w:t xml:space="preserve"> 代理记账机构应当按照国家有关规定，定期将代理记账机构及其从业</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人员基本信息等情况向市财政部门备案，接受监督检查。</w:t>
      </w:r>
    </w:p>
    <w:p>
      <w:pPr>
        <w:pStyle w:val="2"/>
        <w:rPr>
          <w:rFonts w:hint="eastAsia"/>
        </w:rPr>
      </w:pPr>
      <w:bookmarkStart w:id="5" w:name="_Toc25714"/>
    </w:p>
    <w:p>
      <w:pPr>
        <w:pStyle w:val="2"/>
        <w:rPr>
          <w:rFonts w:hint="eastAsia"/>
        </w:rPr>
      </w:pPr>
      <w:r>
        <w:rPr>
          <w:rFonts w:hint="eastAsia"/>
        </w:rPr>
        <w:t>第六章  会计监督</w:t>
      </w:r>
      <w:bookmarkEnd w:id="5"/>
    </w:p>
    <w:p>
      <w:pPr>
        <w:ind w:firstLine="640" w:firstLineChars="200"/>
        <w:rPr>
          <w:rFonts w:hint="eastAsia" w:ascii="黑体" w:hAnsi="黑体" w:eastAsia="黑体" w:cs="黑体"/>
          <w:sz w:val="32"/>
          <w:szCs w:val="32"/>
          <w:lang w:eastAsia="zh-CN"/>
        </w:rPr>
      </w:pPr>
    </w:p>
    <w:p>
      <w:pPr>
        <w:ind w:firstLine="640" w:firstLineChars="200"/>
        <w:rPr>
          <w:rFonts w:hint="eastAsia" w:ascii="仿宋" w:hAnsi="仿宋" w:eastAsia="仿宋" w:cs="仿宋"/>
          <w:sz w:val="32"/>
          <w:szCs w:val="32"/>
        </w:rPr>
      </w:pPr>
      <w:r>
        <w:rPr>
          <w:rFonts w:hint="eastAsia" w:ascii="黑体" w:hAnsi="黑体" w:eastAsia="黑体" w:cs="黑体"/>
          <w:sz w:val="32"/>
          <w:szCs w:val="32"/>
          <w:lang w:eastAsia="zh-CN"/>
        </w:rPr>
        <w:t xml:space="preserve">第二十四条 </w:t>
      </w:r>
      <w:r>
        <w:rPr>
          <w:rFonts w:hint="eastAsia" w:ascii="仿宋" w:hAnsi="仿宋" w:eastAsia="仿宋" w:cs="仿宋"/>
          <w:sz w:val="32"/>
          <w:szCs w:val="32"/>
        </w:rPr>
        <w:t xml:space="preserve"> 单位应当根据业务特点和管理要求，建立和完善不相容职务分离控制、授权审批控制、会计系统控制、预算控制等内部控制制度，加强会计监督。</w:t>
      </w:r>
    </w:p>
    <w:p>
      <w:pPr>
        <w:ind w:firstLine="640" w:firstLineChars="200"/>
        <w:rPr>
          <w:rFonts w:hint="eastAsia" w:ascii="仿宋" w:hAnsi="仿宋" w:eastAsia="仿宋" w:cs="仿宋"/>
          <w:sz w:val="32"/>
          <w:szCs w:val="32"/>
        </w:rPr>
      </w:pPr>
      <w:r>
        <w:rPr>
          <w:rFonts w:hint="eastAsia" w:ascii="黑体" w:hAnsi="黑体" w:eastAsia="黑体" w:cs="黑体"/>
          <w:sz w:val="32"/>
          <w:szCs w:val="32"/>
          <w:lang w:eastAsia="zh-CN"/>
        </w:rPr>
        <w:t xml:space="preserve">第二十五条 </w:t>
      </w:r>
      <w:r>
        <w:rPr>
          <w:rFonts w:hint="eastAsia" w:ascii="仿宋" w:hAnsi="仿宋" w:eastAsia="仿宋" w:cs="仿宋"/>
          <w:sz w:val="32"/>
          <w:szCs w:val="32"/>
        </w:rPr>
        <w:t xml:space="preserve"> 单位处理重大对外投资、资产处置、资金调度和其他重要经济业务事项时，应当征求总会计师、会计机构负责人的意见。</w:t>
      </w:r>
    </w:p>
    <w:p>
      <w:pPr>
        <w:ind w:firstLine="640" w:firstLineChars="200"/>
        <w:rPr>
          <w:rFonts w:hint="eastAsia" w:ascii="仿宋" w:hAnsi="仿宋" w:eastAsia="仿宋" w:cs="仿宋"/>
          <w:sz w:val="32"/>
          <w:szCs w:val="32"/>
        </w:rPr>
      </w:pPr>
      <w:r>
        <w:rPr>
          <w:rFonts w:hint="eastAsia" w:ascii="黑体" w:hAnsi="黑体" w:eastAsia="黑体" w:cs="黑体"/>
          <w:sz w:val="32"/>
          <w:szCs w:val="32"/>
          <w:lang w:eastAsia="zh-CN"/>
        </w:rPr>
        <w:t>第二十六条</w:t>
      </w:r>
      <w:r>
        <w:rPr>
          <w:rFonts w:hint="eastAsia" w:ascii="仿宋" w:hAnsi="仿宋" w:eastAsia="仿宋" w:cs="仿宋"/>
          <w:sz w:val="32"/>
          <w:szCs w:val="32"/>
        </w:rPr>
        <w:t xml:space="preserve">  财政部门应当建立健全会计监督制度，依法对单位下列行为实施监督：</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（一）是否依法设置会计账簿；</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（二）会计凭证、会计账簿、财务会计报告和其他会计资料是否真实、完整；</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（三）会计核算是否符合法律、法规和国家统一的会计制度的规定；</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（四）是否依法设置会计机构、配备会计人员或者委托代理记账机构记账；</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（五）从事会计工作的人员是否具有会计从业资格，会计机构负责人是否符合任职条件；</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（六）是否依法设置总会计师；</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（七）任用会计人员是否依法实行回避制度；</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（八）会计师事务所和注册会计师出具审计报告的程序和内容是否合法、真实准确；代理记账机构是否具备执业资格、规范执业；</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（九）法律、法规和国家统一的会计制度规定的其他事项。</w:t>
      </w:r>
    </w:p>
    <w:p>
      <w:pPr>
        <w:ind w:firstLine="640" w:firstLineChars="200"/>
        <w:rPr>
          <w:rFonts w:hint="eastAsia" w:ascii="仿宋" w:hAnsi="仿宋" w:eastAsia="仿宋" w:cs="仿宋"/>
          <w:sz w:val="32"/>
          <w:szCs w:val="32"/>
        </w:rPr>
      </w:pPr>
      <w:r>
        <w:rPr>
          <w:rFonts w:hint="eastAsia" w:ascii="黑体" w:hAnsi="黑体" w:eastAsia="黑体" w:cs="黑体"/>
          <w:sz w:val="32"/>
          <w:szCs w:val="32"/>
          <w:lang w:eastAsia="zh-CN"/>
        </w:rPr>
        <w:t>第二十七条</w:t>
      </w:r>
      <w:r>
        <w:rPr>
          <w:rFonts w:hint="eastAsia" w:ascii="仿宋" w:hAnsi="仿宋" w:eastAsia="仿宋" w:cs="仿宋"/>
          <w:sz w:val="32"/>
          <w:szCs w:val="32"/>
        </w:rPr>
        <w:t xml:space="preserve">  单位在办理票据领购时，财政部门应当查验会计机构负责人、会计人员的会计从业资格证书或者代理记账许可证书、委托代理记账合同。未能出示相关证明的，财政部门不予办理票据领购。</w:t>
      </w:r>
    </w:p>
    <w:p>
      <w:pPr>
        <w:ind w:firstLine="640" w:firstLineChars="200"/>
        <w:rPr>
          <w:rFonts w:hint="eastAsia" w:ascii="仿宋" w:hAnsi="仿宋" w:eastAsia="仿宋" w:cs="仿宋"/>
          <w:sz w:val="32"/>
          <w:szCs w:val="32"/>
        </w:rPr>
      </w:pPr>
      <w:r>
        <w:rPr>
          <w:rFonts w:hint="eastAsia" w:ascii="黑体" w:hAnsi="黑体" w:eastAsia="黑体" w:cs="黑体"/>
          <w:sz w:val="32"/>
          <w:szCs w:val="32"/>
          <w:lang w:eastAsia="zh-CN"/>
        </w:rPr>
        <w:t>第二十八条</w:t>
      </w:r>
      <w:r>
        <w:rPr>
          <w:rFonts w:hint="eastAsia" w:ascii="仿宋" w:hAnsi="仿宋" w:eastAsia="仿宋" w:cs="仿宋"/>
          <w:sz w:val="32"/>
          <w:szCs w:val="32"/>
        </w:rPr>
        <w:t xml:space="preserve">  财政部门对被检查单位的会计违法行为，应当依法做出处理决定。对不属于财政部门职权范围内的事项，应当及时移交有关机关处理。</w:t>
      </w:r>
    </w:p>
    <w:p>
      <w:pPr>
        <w:ind w:firstLine="640" w:firstLineChars="200"/>
        <w:rPr>
          <w:rFonts w:hint="eastAsia" w:ascii="仿宋" w:hAnsi="仿宋" w:eastAsia="仿宋" w:cs="仿宋"/>
          <w:sz w:val="32"/>
          <w:szCs w:val="32"/>
        </w:rPr>
      </w:pPr>
      <w:r>
        <w:rPr>
          <w:rFonts w:hint="eastAsia" w:ascii="黑体" w:hAnsi="黑体" w:eastAsia="黑体" w:cs="黑体"/>
          <w:sz w:val="32"/>
          <w:szCs w:val="32"/>
          <w:lang w:eastAsia="zh-CN"/>
        </w:rPr>
        <w:t>第二十九条</w:t>
      </w:r>
      <w:r>
        <w:rPr>
          <w:rFonts w:hint="eastAsia" w:ascii="仿宋" w:hAnsi="仿宋" w:eastAsia="仿宋" w:cs="仿宋"/>
          <w:sz w:val="32"/>
          <w:szCs w:val="32"/>
        </w:rPr>
        <w:t xml:space="preserve">  财政部门应当建立会计诚信档案，记载单位和会计人员的会计失信、违法行为及被处罚情况；对情节严重的，应当及时予以通报。并会同有关部门为社会和其他部门提供有关单位和会计人员会计诚信资料的查询服务。</w:t>
      </w:r>
    </w:p>
    <w:p>
      <w:pPr>
        <w:ind w:firstLine="640" w:firstLineChars="200"/>
        <w:rPr>
          <w:rFonts w:hint="eastAsia" w:ascii="仿宋" w:hAnsi="仿宋" w:eastAsia="仿宋" w:cs="仿宋"/>
          <w:sz w:val="32"/>
          <w:szCs w:val="32"/>
        </w:rPr>
      </w:pPr>
      <w:r>
        <w:rPr>
          <w:rFonts w:hint="eastAsia" w:ascii="黑体" w:hAnsi="黑体" w:eastAsia="黑体" w:cs="黑体"/>
          <w:sz w:val="32"/>
          <w:szCs w:val="32"/>
          <w:lang w:eastAsia="zh-CN"/>
        </w:rPr>
        <w:t>第三十条</w:t>
      </w:r>
      <w:r>
        <w:rPr>
          <w:rFonts w:hint="eastAsia" w:ascii="仿宋" w:hAnsi="仿宋" w:eastAsia="仿宋" w:cs="仿宋"/>
          <w:sz w:val="32"/>
          <w:szCs w:val="32"/>
        </w:rPr>
        <w:t xml:space="preserve">  会计人员因依法履行职责受到打击报复的，有权向财政、监察或者其他有关机关检举，接到检举的机关对属于职责范围内的事项，应当依法处理；对不属于职责范围内的事项，应当及时移送有权处理机关，并告知检举人。</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处理机关应当为检举人保密，不得将检举人姓名、检举材料告知、转给被检举单位或者被检举人。</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处理机关对检举事项经查证属实的，应当责成被检举单位及时制止、纠正，并依法追究有关人员的法律责任。</w:t>
      </w:r>
    </w:p>
    <w:p>
      <w:pPr>
        <w:pStyle w:val="2"/>
        <w:rPr>
          <w:rFonts w:hint="eastAsia"/>
        </w:rPr>
      </w:pPr>
      <w:bookmarkStart w:id="6" w:name="_Toc30110"/>
    </w:p>
    <w:p>
      <w:pPr>
        <w:pStyle w:val="2"/>
        <w:rPr>
          <w:rFonts w:hint="eastAsia"/>
        </w:rPr>
      </w:pPr>
      <w:r>
        <w:rPr>
          <w:rFonts w:hint="eastAsia"/>
        </w:rPr>
        <w:t>第七章  法律责任</w:t>
      </w:r>
      <w:bookmarkEnd w:id="6"/>
    </w:p>
    <w:p>
      <w:pPr>
        <w:ind w:firstLine="640" w:firstLineChars="200"/>
        <w:rPr>
          <w:rFonts w:hint="eastAsia" w:ascii="黑体" w:hAnsi="黑体" w:eastAsia="黑体" w:cs="黑体"/>
          <w:sz w:val="32"/>
          <w:szCs w:val="32"/>
          <w:lang w:eastAsia="zh-CN"/>
        </w:rPr>
      </w:pPr>
    </w:p>
    <w:p>
      <w:pPr>
        <w:ind w:firstLine="640" w:firstLineChars="200"/>
        <w:rPr>
          <w:rFonts w:hint="eastAsia" w:ascii="仿宋" w:hAnsi="仿宋" w:eastAsia="仿宋" w:cs="仿宋"/>
          <w:sz w:val="32"/>
          <w:szCs w:val="32"/>
        </w:rPr>
      </w:pPr>
      <w:r>
        <w:rPr>
          <w:rFonts w:hint="eastAsia" w:ascii="黑体" w:hAnsi="黑体" w:eastAsia="黑体" w:cs="黑体"/>
          <w:sz w:val="32"/>
          <w:szCs w:val="32"/>
          <w:lang w:eastAsia="zh-CN"/>
        </w:rPr>
        <w:t>第三十一条</w:t>
      </w:r>
      <w:r>
        <w:rPr>
          <w:rFonts w:hint="eastAsia" w:ascii="仿宋" w:hAnsi="仿宋" w:eastAsia="仿宋" w:cs="仿宋"/>
          <w:sz w:val="32"/>
          <w:szCs w:val="32"/>
        </w:rPr>
        <w:t xml:space="preserve">  违反本条例规定，任用会计人员应当实行回避制度而不实行的，由财政部门责令限期改正，并予以公告。</w:t>
      </w:r>
    </w:p>
    <w:p>
      <w:pPr>
        <w:ind w:firstLine="640" w:firstLineChars="200"/>
        <w:rPr>
          <w:rFonts w:hint="eastAsia" w:ascii="仿宋" w:hAnsi="仿宋" w:eastAsia="仿宋" w:cs="仿宋"/>
          <w:sz w:val="32"/>
          <w:szCs w:val="32"/>
        </w:rPr>
      </w:pPr>
      <w:r>
        <w:rPr>
          <w:rFonts w:hint="eastAsia" w:ascii="黑体" w:hAnsi="黑体" w:eastAsia="黑体" w:cs="黑体"/>
          <w:sz w:val="32"/>
          <w:szCs w:val="32"/>
          <w:lang w:eastAsia="zh-CN"/>
        </w:rPr>
        <w:t>第三十二条</w:t>
      </w:r>
      <w:r>
        <w:rPr>
          <w:rFonts w:hint="eastAsia" w:ascii="仿宋" w:hAnsi="仿宋" w:eastAsia="仿宋" w:cs="仿宋"/>
          <w:sz w:val="32"/>
          <w:szCs w:val="32"/>
        </w:rPr>
        <w:t xml:space="preserve">  违反本条例规定，擅自改变会计要素的确认和计量标准，或者擅自改变财务会计报告编制基础、编制依据、编制原则和方法的，由财政部门责令限期改正，</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对单位可以处3000元以上5万元以下的罚款；对直接负责的主管人员和其他直接责任人员，可以并处2000元以上2万元以下的罚款；情节严重的，由财政部门吊销会计人员会计从业资格证书；属于国家工作人员的，依法给予行政处分；构成犯罪的，依法追究刑事责任。</w:t>
      </w:r>
    </w:p>
    <w:p>
      <w:pPr>
        <w:ind w:firstLine="640" w:firstLineChars="200"/>
        <w:rPr>
          <w:rFonts w:hint="eastAsia" w:ascii="仿宋" w:hAnsi="仿宋" w:eastAsia="仿宋" w:cs="仿宋"/>
          <w:sz w:val="32"/>
          <w:szCs w:val="32"/>
        </w:rPr>
      </w:pPr>
      <w:r>
        <w:rPr>
          <w:rFonts w:hint="eastAsia" w:ascii="黑体" w:hAnsi="黑体" w:eastAsia="黑体" w:cs="黑体"/>
          <w:sz w:val="32"/>
          <w:szCs w:val="32"/>
          <w:lang w:eastAsia="zh-CN"/>
        </w:rPr>
        <w:t>第三十三条</w:t>
      </w:r>
      <w:r>
        <w:rPr>
          <w:rFonts w:hint="eastAsia" w:ascii="仿宋" w:hAnsi="仿宋" w:eastAsia="仿宋" w:cs="仿宋"/>
          <w:sz w:val="32"/>
          <w:szCs w:val="32"/>
        </w:rPr>
        <w:t xml:space="preserve">  违反本条例规定，未经批准擅自从事代理记账业务的，由财政部门责令停止代理记账业务，并予以公告。</w:t>
      </w:r>
    </w:p>
    <w:p>
      <w:pPr>
        <w:ind w:firstLine="640" w:firstLineChars="200"/>
        <w:rPr>
          <w:rFonts w:hint="eastAsia" w:ascii="仿宋" w:hAnsi="仿宋" w:eastAsia="仿宋" w:cs="仿宋"/>
          <w:sz w:val="32"/>
          <w:szCs w:val="32"/>
        </w:rPr>
      </w:pPr>
      <w:r>
        <w:rPr>
          <w:rFonts w:hint="eastAsia" w:ascii="黑体" w:hAnsi="黑体" w:eastAsia="黑体" w:cs="黑体"/>
          <w:sz w:val="32"/>
          <w:szCs w:val="32"/>
          <w:lang w:eastAsia="zh-CN"/>
        </w:rPr>
        <w:t>第三十四条</w:t>
      </w:r>
      <w:r>
        <w:rPr>
          <w:rFonts w:hint="eastAsia" w:ascii="仿宋" w:hAnsi="仿宋" w:eastAsia="仿宋" w:cs="仿宋"/>
          <w:sz w:val="32"/>
          <w:szCs w:val="32"/>
        </w:rPr>
        <w:t xml:space="preserve">  违反本条例规定，代理记账机构不按照国家统一的会计制度进行会计核算，由财政部门责令限期改正，没收违法所得，可以对代理记账机构处3000元以上5万元以下的罚款；对直接负责的主管人员和其他直接责任人员，可以并处2000元以上2万元以下的罚款；逾期不改正的，暂停代理记账业务；情节严重的，吊销代理记账许可证。</w:t>
      </w:r>
    </w:p>
    <w:p>
      <w:pPr>
        <w:ind w:firstLine="640" w:firstLineChars="200"/>
        <w:rPr>
          <w:rFonts w:hint="eastAsia" w:ascii="仿宋" w:hAnsi="仿宋" w:eastAsia="仿宋" w:cs="仿宋"/>
          <w:sz w:val="32"/>
          <w:szCs w:val="32"/>
        </w:rPr>
      </w:pPr>
      <w:r>
        <w:rPr>
          <w:rFonts w:hint="eastAsia" w:ascii="黑体" w:hAnsi="黑体" w:eastAsia="黑体" w:cs="黑体"/>
          <w:sz w:val="32"/>
          <w:szCs w:val="32"/>
          <w:lang w:eastAsia="zh-CN"/>
        </w:rPr>
        <w:t xml:space="preserve">第三十五条 </w:t>
      </w:r>
      <w:r>
        <w:rPr>
          <w:rFonts w:hint="eastAsia" w:ascii="仿宋" w:hAnsi="仿宋" w:eastAsia="仿宋" w:cs="仿宋"/>
          <w:sz w:val="32"/>
          <w:szCs w:val="32"/>
        </w:rPr>
        <w:t xml:space="preserve"> 财政部门工作人员有下列情形之一的，依法给予行政处分；构成犯罪的，依法追究刑事责任：</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（一）依法应当办理会计从业资格证书而不予办理或者对不符合法定条件的人员办理会计从业资格证书的；</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（二）对不符合设立代理记账条件的机构颁发代理记账许可证书的；</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（三）利用职务之便收受他人财物或者谋取其他非法利益的；</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（四）在监督检查中泄露国家秘密和商业秘密的；</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（五）超越法定职权或者违反法定程序实施行政处罚的；</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（六）其他未依法履行会计监督管理职责的行为。</w:t>
      </w:r>
    </w:p>
    <w:p>
      <w:pPr>
        <w:ind w:firstLine="640" w:firstLineChars="200"/>
        <w:rPr>
          <w:rFonts w:hint="eastAsia" w:ascii="仿宋" w:hAnsi="仿宋" w:eastAsia="仿宋" w:cs="仿宋"/>
          <w:sz w:val="32"/>
          <w:szCs w:val="32"/>
        </w:rPr>
      </w:pPr>
      <w:r>
        <w:rPr>
          <w:rFonts w:hint="eastAsia" w:ascii="黑体" w:hAnsi="黑体" w:eastAsia="黑体" w:cs="黑体"/>
          <w:sz w:val="32"/>
          <w:szCs w:val="32"/>
          <w:lang w:eastAsia="zh-CN"/>
        </w:rPr>
        <w:t>第三十六条</w:t>
      </w:r>
      <w:r>
        <w:rPr>
          <w:rFonts w:hint="eastAsia" w:ascii="仿宋" w:hAnsi="仿宋" w:eastAsia="仿宋" w:cs="仿宋"/>
          <w:sz w:val="32"/>
          <w:szCs w:val="32"/>
        </w:rPr>
        <w:t xml:space="preserve">  违反本条例规定的其他行为，《会计法》及其他法律、法规已有处罚规定的，从其规定。</w:t>
      </w:r>
    </w:p>
    <w:p>
      <w:pPr>
        <w:pStyle w:val="2"/>
        <w:rPr>
          <w:rFonts w:hint="eastAsia"/>
        </w:rPr>
      </w:pPr>
      <w:bookmarkStart w:id="7" w:name="_Toc20173"/>
    </w:p>
    <w:p>
      <w:pPr>
        <w:pStyle w:val="2"/>
        <w:rPr>
          <w:rFonts w:hint="eastAsia"/>
        </w:rPr>
      </w:pPr>
      <w:r>
        <w:rPr>
          <w:rFonts w:hint="eastAsia"/>
        </w:rPr>
        <w:t>第八章  附    则</w:t>
      </w:r>
      <w:bookmarkEnd w:id="7"/>
    </w:p>
    <w:p>
      <w:pPr>
        <w:ind w:firstLine="640" w:firstLineChars="200"/>
        <w:rPr>
          <w:rFonts w:hint="eastAsia" w:ascii="黑体" w:hAnsi="黑体" w:eastAsia="黑体" w:cs="黑体"/>
          <w:sz w:val="32"/>
          <w:szCs w:val="32"/>
          <w:lang w:eastAsia="zh-CN"/>
        </w:rPr>
      </w:pPr>
    </w:p>
    <w:p>
      <w:pPr>
        <w:ind w:firstLine="640" w:firstLineChars="200"/>
        <w:rPr>
          <w:rFonts w:hint="eastAsia" w:ascii="仿宋" w:hAnsi="仿宋" w:eastAsia="仿宋" w:cs="仿宋"/>
          <w:sz w:val="32"/>
          <w:szCs w:val="32"/>
        </w:rPr>
      </w:pPr>
      <w:bookmarkStart w:id="8" w:name="_GoBack"/>
      <w:bookmarkEnd w:id="8"/>
      <w:r>
        <w:rPr>
          <w:rFonts w:hint="eastAsia" w:ascii="黑体" w:hAnsi="黑体" w:eastAsia="黑体" w:cs="黑体"/>
          <w:sz w:val="32"/>
          <w:szCs w:val="32"/>
          <w:lang w:eastAsia="zh-CN"/>
        </w:rPr>
        <w:t>第三十七条</w:t>
      </w:r>
      <w:r>
        <w:rPr>
          <w:rFonts w:hint="eastAsia" w:ascii="仿宋" w:hAnsi="仿宋" w:eastAsia="仿宋" w:cs="仿宋"/>
          <w:sz w:val="32"/>
          <w:szCs w:val="32"/>
        </w:rPr>
        <w:t xml:space="preserve">  本条例自2010年10月1日起施行。1998年9月25日辽宁省第九届人民代表大会常务委员会第五次会议通过的《辽宁省会计管理条例》同时废止。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p>
    <w:p>
      <w:pPr>
        <w:ind w:firstLine="640" w:firstLineChars="200"/>
        <w:rPr>
          <w:rFonts w:hint="eastAsia" w:ascii="仿宋" w:hAnsi="仿宋" w:eastAsia="仿宋" w:cs="仿宋"/>
          <w:sz w:val="32"/>
          <w:szCs w:val="32"/>
        </w:rPr>
      </w:pPr>
    </w:p>
    <w:sectPr>
      <w:footerReference r:id="rId3" w:type="default"/>
      <w:pgSz w:w="11906" w:h="16838"/>
      <w:pgMar w:top="2041" w:right="1531" w:bottom="2041" w:left="1531" w:header="851" w:footer="992"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叶根友毛笔行书2.0版">
    <w:panose1 w:val="02010601030101010101"/>
    <w:charset w:val="86"/>
    <w:family w:val="auto"/>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中央文件专用字库2">
    <w:panose1 w:val="03000509000000000000"/>
    <w:charset w:val="86"/>
    <w:family w:val="auto"/>
    <w:pitch w:val="default"/>
    <w:sig w:usb0="00000001" w:usb1="08000000" w:usb2="00000000" w:usb3="00000000" w:csb0="00040000" w:csb1="00000000"/>
  </w:font>
  <w:font w:name="中央文件专用字库1">
    <w:panose1 w:val="03000509000000000000"/>
    <w:charset w:val="86"/>
    <w:family w:val="auto"/>
    <w:pitch w:val="default"/>
    <w:sig w:usb0="00000001" w:usb1="08000000" w:usb2="00000000" w:usb3="00000000" w:csb0="00040000" w:csb1="00000000"/>
  </w:font>
  <w:font w:name="宋">
    <w:altName w:val="宋体"/>
    <w:panose1 w:val="00000000000000000000"/>
    <w:charset w:val="00"/>
    <w:family w:val="auto"/>
    <w:pitch w:val="default"/>
    <w:sig w:usb0="00000000" w:usb1="00000000" w:usb2="00000000" w:usb3="00000000" w:csb0="00000000" w:csb1="00000000"/>
  </w:font>
  <w:font w:name="相结合">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相结">
    <w:altName w:val="Segoe Print"/>
    <w:panose1 w:val="00000000000000000000"/>
    <w:charset w:val="00"/>
    <w:family w:val="auto"/>
    <w:pitch w:val="default"/>
    <w:sig w:usb0="00000000" w:usb1="00000000" w:usb2="00000000" w:usb3="00000000" w:csb0="00000000" w:csb1="00000000"/>
  </w:font>
  <w:font w:name="相">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方正中倩简体">
    <w:panose1 w:val="03000509000000000000"/>
    <w:charset w:val="86"/>
    <w:family w:val="auto"/>
    <w:pitch w:val="default"/>
    <w:sig w:usb0="00000001" w:usb1="080E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仿">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A00002EF" w:usb1="4000207B" w:usb2="00000000" w:usb3="00000000" w:csb0="2000019F" w:csb1="00000000"/>
  </w:font>
  <w:font w:name="方正中楷繁体">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4bVggbAgAAIQQAAA4AAABkcnMvZTJvRG9jLnhtbK1TzW4TMRC+I/EO&#10;lu9kN6FUUZRNFVoFIUW0UkCcHa+dtWR7LNvJbngAeANOXLjzXHkOxt5silpOiIs99vx/8838pjOa&#10;HIQPCmxFx6OSEmE51MruKvrp4+rVlJIQma2ZBisqehSB3ixevpi3biYm0ICuhScYxIZZ6yraxOhm&#10;RRF4IwwLI3DColKCNyzi0++K2rMWoxtdTMryumjB184DFyHg712vpIscX0rB472UQUSiK4q1xXz6&#10;fG7TWSzmbLbzzDWKn8tg/1CFYcpi0kuoOxYZ2Xv1LJRR3EMAGUccTAFSKi5yD9jNuHzSzaZhTuRe&#10;EJzgLjCF/xeWfzg8eKLqil5RYpnBEZ2+fzv9+HX6+ZVcJXhaF2ZotXFoF7u30OGYh/+An6nrTnqT&#10;buyHoB6BPl7AFV0kPDlNJ9NpiSqOuuGB8YtHd+dDfCfAkCRU1OP0MqjssA6xNx1MUjYLK6V1nqC2&#10;pK3o9es3ZXa4aDC4tslWZC6cw6SW+tKTFLttd+5zC/UR2/TQ8yQ4vlJYypqF+MA8EgPLR7LHezyk&#10;BkwJZ4mSBvyXv/0ne5wXailpkWgVtbgJlOj3FueYODkIfhC2g2D35haQuWNcIseziA4+6kGUHsxn&#10;3IBlyoEqZjlmqmgcxNvYkx03iIvlMhvtnVe7pndAFjoW13bjeEqToApuuY8IbUY8AdSjgpNKD+Rh&#10;ntl5ZxLR/3xnq8fNXvw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A4bVggbAgAAIQQAAA4A&#10;AAAAAAAAAQAgAAAAHwEAAGRycy9lMm9Eb2MueG1sUEsFBgAAAAAGAAYAWQEAAKwFA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1F2837"/>
    <w:rsid w:val="00DC6F67"/>
    <w:rsid w:val="01A90DF8"/>
    <w:rsid w:val="02123303"/>
    <w:rsid w:val="02DC1B4A"/>
    <w:rsid w:val="030B094A"/>
    <w:rsid w:val="03187345"/>
    <w:rsid w:val="03400271"/>
    <w:rsid w:val="04A11D33"/>
    <w:rsid w:val="04F51BA1"/>
    <w:rsid w:val="054A6246"/>
    <w:rsid w:val="05B10E1F"/>
    <w:rsid w:val="064B52D3"/>
    <w:rsid w:val="06FE6E5A"/>
    <w:rsid w:val="090C6FF4"/>
    <w:rsid w:val="0BFA65D6"/>
    <w:rsid w:val="0C6A4B67"/>
    <w:rsid w:val="0C9250A8"/>
    <w:rsid w:val="0CEC2EA6"/>
    <w:rsid w:val="0E664A1A"/>
    <w:rsid w:val="0F037DF5"/>
    <w:rsid w:val="10630639"/>
    <w:rsid w:val="107F2C41"/>
    <w:rsid w:val="109467B8"/>
    <w:rsid w:val="112C3662"/>
    <w:rsid w:val="11945F12"/>
    <w:rsid w:val="13200AFA"/>
    <w:rsid w:val="13595AA4"/>
    <w:rsid w:val="143D2F2C"/>
    <w:rsid w:val="143F54BF"/>
    <w:rsid w:val="14824A64"/>
    <w:rsid w:val="161F2837"/>
    <w:rsid w:val="164D12D6"/>
    <w:rsid w:val="177A3CFF"/>
    <w:rsid w:val="17FE62AE"/>
    <w:rsid w:val="18171061"/>
    <w:rsid w:val="189A5561"/>
    <w:rsid w:val="18AF0FF7"/>
    <w:rsid w:val="18C670C6"/>
    <w:rsid w:val="1AD672BF"/>
    <w:rsid w:val="1C6E12DC"/>
    <w:rsid w:val="1CF5377A"/>
    <w:rsid w:val="1DF5713F"/>
    <w:rsid w:val="1E6229FB"/>
    <w:rsid w:val="1E8C04FB"/>
    <w:rsid w:val="1FCA6FF6"/>
    <w:rsid w:val="20103889"/>
    <w:rsid w:val="20316386"/>
    <w:rsid w:val="20590C69"/>
    <w:rsid w:val="20EF61E1"/>
    <w:rsid w:val="223E6956"/>
    <w:rsid w:val="240D4646"/>
    <w:rsid w:val="25D47A71"/>
    <w:rsid w:val="2624617C"/>
    <w:rsid w:val="2630396D"/>
    <w:rsid w:val="264440A8"/>
    <w:rsid w:val="270B303B"/>
    <w:rsid w:val="27B05AA6"/>
    <w:rsid w:val="27FC2D25"/>
    <w:rsid w:val="287477DF"/>
    <w:rsid w:val="29123653"/>
    <w:rsid w:val="2B031DE5"/>
    <w:rsid w:val="2B537748"/>
    <w:rsid w:val="2BE3684F"/>
    <w:rsid w:val="2CE13614"/>
    <w:rsid w:val="2D013697"/>
    <w:rsid w:val="2D942549"/>
    <w:rsid w:val="2DB7090C"/>
    <w:rsid w:val="2DBE0035"/>
    <w:rsid w:val="2EA67C7A"/>
    <w:rsid w:val="2ED63F14"/>
    <w:rsid w:val="2EF66D7D"/>
    <w:rsid w:val="2FAC7C6C"/>
    <w:rsid w:val="30B05D00"/>
    <w:rsid w:val="315015BF"/>
    <w:rsid w:val="319A7AB0"/>
    <w:rsid w:val="31E03E63"/>
    <w:rsid w:val="330956BB"/>
    <w:rsid w:val="34A4792D"/>
    <w:rsid w:val="3523460C"/>
    <w:rsid w:val="355D574F"/>
    <w:rsid w:val="35E577DF"/>
    <w:rsid w:val="363F69A7"/>
    <w:rsid w:val="36811BED"/>
    <w:rsid w:val="38721F4F"/>
    <w:rsid w:val="38EE67B9"/>
    <w:rsid w:val="38F3428F"/>
    <w:rsid w:val="3A3C6DDF"/>
    <w:rsid w:val="3A630D35"/>
    <w:rsid w:val="3AC920CE"/>
    <w:rsid w:val="3BA73BF4"/>
    <w:rsid w:val="3D486918"/>
    <w:rsid w:val="3E277E6D"/>
    <w:rsid w:val="3E400C5F"/>
    <w:rsid w:val="3EF34D8D"/>
    <w:rsid w:val="3FD8696F"/>
    <w:rsid w:val="40913EE0"/>
    <w:rsid w:val="40934429"/>
    <w:rsid w:val="40F2738E"/>
    <w:rsid w:val="42C267EB"/>
    <w:rsid w:val="43693C5A"/>
    <w:rsid w:val="44BA1352"/>
    <w:rsid w:val="455C5B77"/>
    <w:rsid w:val="45715B28"/>
    <w:rsid w:val="45CC43B8"/>
    <w:rsid w:val="45E94568"/>
    <w:rsid w:val="45EB580A"/>
    <w:rsid w:val="46F25374"/>
    <w:rsid w:val="46FE6ADB"/>
    <w:rsid w:val="47190386"/>
    <w:rsid w:val="48235500"/>
    <w:rsid w:val="496D093B"/>
    <w:rsid w:val="4A115B83"/>
    <w:rsid w:val="4A304D48"/>
    <w:rsid w:val="4ACE5D7C"/>
    <w:rsid w:val="4BF3497D"/>
    <w:rsid w:val="4C4F10F0"/>
    <w:rsid w:val="4EE07366"/>
    <w:rsid w:val="4F1678B7"/>
    <w:rsid w:val="4F2C0DC2"/>
    <w:rsid w:val="4FDA2B53"/>
    <w:rsid w:val="508E2CC0"/>
    <w:rsid w:val="51774BDD"/>
    <w:rsid w:val="52C57AD3"/>
    <w:rsid w:val="52E867D7"/>
    <w:rsid w:val="532A73B3"/>
    <w:rsid w:val="53966249"/>
    <w:rsid w:val="55F153C4"/>
    <w:rsid w:val="56346931"/>
    <w:rsid w:val="57EA54B3"/>
    <w:rsid w:val="585602DF"/>
    <w:rsid w:val="590E0F79"/>
    <w:rsid w:val="59836D8C"/>
    <w:rsid w:val="5A4370C0"/>
    <w:rsid w:val="5AFE29E7"/>
    <w:rsid w:val="5D0A6845"/>
    <w:rsid w:val="5D8666C1"/>
    <w:rsid w:val="5E790AB1"/>
    <w:rsid w:val="5FC01C05"/>
    <w:rsid w:val="6033420B"/>
    <w:rsid w:val="625C6084"/>
    <w:rsid w:val="626C54D9"/>
    <w:rsid w:val="62BC1813"/>
    <w:rsid w:val="64A019F5"/>
    <w:rsid w:val="652671F7"/>
    <w:rsid w:val="65A52084"/>
    <w:rsid w:val="663B59C0"/>
    <w:rsid w:val="66BA54A4"/>
    <w:rsid w:val="67544E85"/>
    <w:rsid w:val="67DD1197"/>
    <w:rsid w:val="680B03CF"/>
    <w:rsid w:val="68DB6E36"/>
    <w:rsid w:val="697E6B15"/>
    <w:rsid w:val="6AAA3BEE"/>
    <w:rsid w:val="6B131566"/>
    <w:rsid w:val="6BA75280"/>
    <w:rsid w:val="6BE11D86"/>
    <w:rsid w:val="6C076208"/>
    <w:rsid w:val="6C2706A1"/>
    <w:rsid w:val="6CD51EDC"/>
    <w:rsid w:val="6D4443E7"/>
    <w:rsid w:val="6D6A13C0"/>
    <w:rsid w:val="6DBF7B24"/>
    <w:rsid w:val="6F723BC8"/>
    <w:rsid w:val="709C429C"/>
    <w:rsid w:val="70F53D21"/>
    <w:rsid w:val="717C33E8"/>
    <w:rsid w:val="7269452B"/>
    <w:rsid w:val="732C51EB"/>
    <w:rsid w:val="746E6EE2"/>
    <w:rsid w:val="753B5365"/>
    <w:rsid w:val="761746CE"/>
    <w:rsid w:val="767B4FBE"/>
    <w:rsid w:val="76D129CF"/>
    <w:rsid w:val="785161E0"/>
    <w:rsid w:val="78FF556C"/>
    <w:rsid w:val="79E6441F"/>
    <w:rsid w:val="7A86554B"/>
    <w:rsid w:val="7A9044D5"/>
    <w:rsid w:val="7BA834EA"/>
    <w:rsid w:val="7BCA0A4C"/>
    <w:rsid w:val="7CA15643"/>
    <w:rsid w:val="7D2A4684"/>
    <w:rsid w:val="7D4263F2"/>
    <w:rsid w:val="7DD73CD4"/>
    <w:rsid w:val="7E0E014F"/>
    <w:rsid w:val="7ED17299"/>
    <w:rsid w:val="7EF94983"/>
    <w:rsid w:val="7F5E3BC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3"/>
    <w:qFormat/>
    <w:uiPriority w:val="0"/>
    <w:pPr>
      <w:keepNext/>
      <w:keepLines/>
      <w:spacing w:beforeAutospacing="0" w:afterAutospacing="0" w:line="560" w:lineRule="exact"/>
      <w:ind w:firstLine="0" w:firstLineChars="0"/>
      <w:jc w:val="center"/>
      <w:outlineLvl w:val="0"/>
    </w:pPr>
    <w:rPr>
      <w:rFonts w:eastAsia="黑体"/>
      <w:kern w:val="44"/>
      <w:sz w:val="32"/>
    </w:rPr>
  </w:style>
  <w:style w:type="paragraph" w:styleId="3">
    <w:name w:val="heading 2"/>
    <w:basedOn w:val="1"/>
    <w:next w:val="1"/>
    <w:unhideWhenUsed/>
    <w:qFormat/>
    <w:uiPriority w:val="0"/>
    <w:pPr>
      <w:keepNext/>
      <w:keepLines/>
      <w:spacing w:before="100" w:beforeLines="100" w:beforeAutospacing="0" w:after="100" w:afterLines="100" w:afterAutospacing="0" w:line="413" w:lineRule="auto"/>
      <w:jc w:val="center"/>
      <w:outlineLvl w:val="1"/>
    </w:pPr>
    <w:rPr>
      <w:rFonts w:ascii="Arial" w:hAnsi="Arial" w:eastAsia="宋体"/>
      <w:sz w:val="32"/>
    </w:rPr>
  </w:style>
  <w:style w:type="paragraph" w:styleId="4">
    <w:name w:val="heading 3"/>
    <w:basedOn w:val="1"/>
    <w:next w:val="1"/>
    <w:link w:val="14"/>
    <w:unhideWhenUsed/>
    <w:qFormat/>
    <w:uiPriority w:val="0"/>
    <w:pPr>
      <w:keepNext/>
      <w:keepLines/>
      <w:spacing w:beforeLines="0" w:beforeAutospacing="0" w:afterLines="0" w:afterAutospacing="0" w:line="560" w:lineRule="exact"/>
      <w:ind w:firstLine="640" w:firstLineChars="200"/>
      <w:jc w:val="left"/>
      <w:outlineLvl w:val="2"/>
    </w:pPr>
    <w:rPr>
      <w:rFonts w:eastAsia="楷体"/>
      <w:sz w:val="32"/>
    </w:rPr>
  </w:style>
  <w:style w:type="character" w:default="1" w:styleId="9">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qFormat/>
    <w:uiPriority w:val="0"/>
    <w:pPr>
      <w:spacing w:line="560" w:lineRule="exact"/>
      <w:ind w:left="630" w:leftChars="300" w:right="630" w:rightChars="300"/>
    </w:pPr>
    <w:rPr>
      <w:rFonts w:eastAsia="楷体"/>
      <w:sz w:val="32"/>
    </w:rPr>
  </w:style>
  <w:style w:type="paragraph" w:styleId="8">
    <w:name w:val="toc 2"/>
    <w:basedOn w:val="1"/>
    <w:next w:val="1"/>
    <w:qFormat/>
    <w:uiPriority w:val="0"/>
    <w:pPr>
      <w:ind w:left="420" w:leftChars="200"/>
    </w:pPr>
  </w:style>
  <w:style w:type="paragraph" w:customStyle="1" w:styleId="11">
    <w:name w:val="目录"/>
    <w:basedOn w:val="1"/>
    <w:link w:val="12"/>
    <w:qFormat/>
    <w:uiPriority w:val="0"/>
    <w:pPr>
      <w:spacing w:line="560" w:lineRule="exact"/>
    </w:pPr>
    <w:rPr>
      <w:rFonts w:ascii="Calibri" w:hAnsi="Calibri" w:eastAsia="仿宋"/>
      <w:sz w:val="32"/>
    </w:rPr>
  </w:style>
  <w:style w:type="character" w:customStyle="1" w:styleId="12">
    <w:name w:val="目录 Char"/>
    <w:link w:val="11"/>
    <w:qFormat/>
    <w:uiPriority w:val="0"/>
    <w:rPr>
      <w:rFonts w:ascii="Calibri" w:hAnsi="Calibri" w:eastAsia="仿宋"/>
      <w:sz w:val="32"/>
    </w:rPr>
  </w:style>
  <w:style w:type="character" w:customStyle="1" w:styleId="13">
    <w:name w:val="标题 1 Char"/>
    <w:link w:val="2"/>
    <w:qFormat/>
    <w:uiPriority w:val="0"/>
    <w:rPr>
      <w:rFonts w:ascii="Calibri" w:hAnsi="Calibri" w:eastAsia="黑体"/>
      <w:kern w:val="44"/>
      <w:sz w:val="32"/>
    </w:rPr>
  </w:style>
  <w:style w:type="character" w:customStyle="1" w:styleId="14">
    <w:name w:val="标题 3 Char"/>
    <w:link w:val="4"/>
    <w:qFormat/>
    <w:uiPriority w:val="0"/>
    <w:rPr>
      <w:rFonts w:eastAsia="楷体"/>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2017-02-10T04:07:00Z</dcterms:created>
  <dc:creator>Administrator</dc:creator>
  <cp:lastModifiedBy>Administrator</cp:lastModifiedBy>
  <dcterms:modified xsi:type="dcterms:W3CDTF">2017-02-16T13:13:07Z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