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32"/>
        </w:rPr>
      </w:pPr>
    </w:p>
    <w:p>
      <w:pPr>
        <w:spacing w:after="0"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jc w:val="center"/>
      </w:pPr>
      <w:r>
        <w:rPr>
          <w:rFonts w:ascii="宋体" w:hAnsi="宋体" w:eastAsia="宋体"/>
          <w:sz w:val="44"/>
        </w:rPr>
        <w:t>辽宁省娱乐</w:t>
      </w:r>
      <w:bookmarkStart w:id="0" w:name="_GoBack"/>
      <w:bookmarkEnd w:id="0"/>
      <w:r>
        <w:rPr>
          <w:rFonts w:ascii="宋体" w:hAnsi="宋体" w:eastAsia="宋体"/>
          <w:sz w:val="44"/>
        </w:rPr>
        <w:t>饮食服务场所治安管理条例</w:t>
      </w:r>
    </w:p>
    <w:p>
      <w:pPr>
        <w:spacing w:after="0"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632" w:leftChars="200" w:right="632" w:rightChars="200"/>
        <w:textAlignment w:val="auto"/>
      </w:pPr>
      <w:r>
        <w:rPr>
          <w:rFonts w:ascii="Times New Roman" w:hAnsi="Times New Roman" w:eastAsia="楷体_GB2312"/>
          <w:sz w:val="32"/>
        </w:rPr>
        <w:t>（1998年5月29日辽宁省第九届人民代表大会常务委员会第二次会议通过　根据2004年6月30日辽宁省第十届人民代表大会常务委员会第十二次会议《关于修改〈辽宁省娱乐饮食服务场所治安管理条例〉的决定》第一次修正　根据2006年1月13日辽宁省第十届人民代表大会常务委员会第二十三次会议《关于修改〈辽宁省娱乐饮食服务场所治安管理条例〉的决定》第二次修正　根据2010年7月30日辽宁省第十一届人民代表大会常务委员会第十八次会议《关于修改部分地方性法规的决定》第三次修正　根据2023年7月27日辽宁省第十四届人民代表大会常务委员会第四次会议《关于修改〈辽宁省节约能源条例〉等七部地方性法规的决定》第四次修正）</w:t>
      </w:r>
    </w:p>
    <w:p>
      <w:pPr>
        <w:spacing w:after="0"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第一条</w:t>
      </w:r>
      <w:r>
        <w:rPr>
          <w:rFonts w:ascii="仿宋_GB2312" w:hAnsi="仿宋_GB2312" w:eastAsia="仿宋_GB2312"/>
          <w:sz w:val="32"/>
        </w:rPr>
        <w:t>　为了加强对娱乐、饮食、服务场所的治安管理，维护社会治安秩序，预防违法犯罪，保障公民、法人和其他组织的合法权益，根据有关法律、法规，结合我省实际，制定本条例。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第二条</w:t>
      </w:r>
      <w:r>
        <w:rPr>
          <w:rFonts w:ascii="仿宋_GB2312" w:hAnsi="仿宋_GB2312" w:eastAsia="仿宋_GB2312"/>
          <w:sz w:val="32"/>
        </w:rPr>
        <w:t>　凡在我省行政区</w:t>
      </w:r>
      <w:r>
        <w:rPr>
          <w:rFonts w:eastAsia="仿宋_GB2312"/>
          <w:sz w:val="32"/>
        </w:rPr>
        <w:t>域内的营业性的娱乐、饮食、服务场所的治安管理，均适用本条例。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第三条</w:t>
      </w:r>
      <w:r>
        <w:rPr>
          <w:rFonts w:ascii="仿宋_GB2312" w:hAnsi="仿宋_GB2312" w:eastAsia="仿宋_GB2312"/>
          <w:sz w:val="32"/>
        </w:rPr>
        <w:t>　各级公安机关是本行政区域内娱乐、饮食、服务场所治安管理的主管部门，依照公安机关的法定职责和本条例行使职权。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第四条</w:t>
      </w:r>
      <w:r>
        <w:rPr>
          <w:rFonts w:ascii="Times New Roman" w:hAnsi="Times New Roman" w:eastAsia="仿宋_GB2312"/>
          <w:sz w:val="32"/>
        </w:rPr>
        <w:t>　娱乐场所取得营业执照后，应当在15日内向所在地县级公安部门备案。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娱乐场所改建、扩建营业场所或者变更场地、主要设施设备、投资人员，或者变更娱乐经营许可证载明的事项的，应当依法向公安部门备案。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第五条</w:t>
      </w:r>
      <w:r>
        <w:rPr>
          <w:rFonts w:ascii="仿宋_GB2312" w:hAnsi="仿宋_GB2312" w:eastAsia="仿宋_GB2312"/>
          <w:sz w:val="32"/>
        </w:rPr>
        <w:t>　营业场所应当就下列内容向公安机关备案：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（一）单位名称、住所、组织机构和章程；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（二）经营范围和娱乐项目；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（三）营业场地及器材设备情况；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（四）卫生和消防安全措施情况。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第六条</w:t>
      </w:r>
      <w:r>
        <w:rPr>
          <w:rFonts w:ascii="仿宋_GB2312" w:hAnsi="仿宋_GB2312" w:eastAsia="仿宋_GB2312"/>
          <w:sz w:val="32"/>
        </w:rPr>
        <w:t>　娱乐、饮食、服务场所的法定代表人或者经营负责人，对本营业场所的治安管理负有下列责任：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（一）遵守和落实有关治安管理的法律、法规；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（二）对凡在本营业场所服务的从业人员进行治安教育，并负责监督其遵守治安管理的法律、法规；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（三）发现营业场所内的卖淫、色情陪侍、赌博、吸毒等违法犯罪行为，及时报告公安机关并协助查处；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（四）营业场所内发生灾害事故，及时采取措施，保护营业场所内的人身、财产的安全。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第七条</w:t>
      </w:r>
      <w:r>
        <w:rPr>
          <w:rFonts w:ascii="仿宋_GB2312" w:hAnsi="仿宋_GB2312" w:eastAsia="仿宋_GB2312"/>
          <w:sz w:val="32"/>
        </w:rPr>
        <w:t>　娱乐、饮食、服务场所招用从业人员，应当查看并登记被招用人的居民身份证，属于流动人口的，应当同时查看居住证；没有居民身份证或者居住证的，不得招用；招用保安人员应当经过专门培训。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第八条</w:t>
      </w:r>
      <w:r>
        <w:rPr>
          <w:rFonts w:ascii="仿宋_GB2312" w:hAnsi="仿宋_GB2312" w:eastAsia="仿宋_GB2312"/>
          <w:sz w:val="32"/>
        </w:rPr>
        <w:t>　电子游戏厅不得经营国家和省明令禁止使用的游戏机种。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禁止利用电子游戏机进行赌博和传播淫秽音像。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第九条</w:t>
      </w:r>
      <w:r>
        <w:rPr>
          <w:rFonts w:ascii="仿宋_GB2312" w:hAnsi="仿宋_GB2312" w:eastAsia="仿宋_GB2312"/>
          <w:sz w:val="32"/>
        </w:rPr>
        <w:t>　营业场所的服务人员不得进行卖淫和色情陪侍等违法犯罪活动，不得为消费人员的违法行为提供条件。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第十条</w:t>
      </w:r>
      <w:r>
        <w:rPr>
          <w:rFonts w:ascii="仿宋_GB2312" w:hAnsi="仿宋_GB2312" w:eastAsia="仿宋_GB2312"/>
          <w:sz w:val="32"/>
        </w:rPr>
        <w:t>　消费人员不得进行嫖娼、接受色情陪侍、赌博、吸毒、殴斗、寻衅滋事等违法犯罪活动，不得携带枪支、管制刀具和易燃、易爆等危险物品。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第十一条</w:t>
      </w:r>
      <w:r>
        <w:rPr>
          <w:rFonts w:ascii="仿宋_GB2312" w:hAnsi="仿宋_GB2312" w:eastAsia="仿宋_GB2312"/>
          <w:sz w:val="32"/>
        </w:rPr>
        <w:t>　公安人员对娱乐、饮食、服务场所进行治安检查时，应当二人以上，并出示《公共场所治安检查证》；否则，营业场所的经营者有权拒绝接受检查。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第十二条</w:t>
      </w:r>
      <w:r>
        <w:rPr>
          <w:rFonts w:ascii="仿宋_GB2312" w:hAnsi="仿宋_GB2312" w:eastAsia="仿宋_GB2312"/>
          <w:sz w:val="32"/>
        </w:rPr>
        <w:t>　违反本条例第七条规定的，依照《娱乐场所管理条例》的规定处罚。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第十三条</w:t>
      </w:r>
      <w:r>
        <w:rPr>
          <w:rFonts w:ascii="仿宋_GB2312" w:hAnsi="仿宋_GB2312" w:eastAsia="仿宋_GB2312"/>
          <w:sz w:val="32"/>
        </w:rPr>
        <w:t>　凡在营业场所内发生卖淫、嫖娼、赌博和色情陪侍等违法犯罪行为的，依照下列规定处理：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（一）对卖淫、嫖娼、赌博等违法犯罪行为，依照有关法律、法规处罚；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Times New Roman" w:hAnsi="Times New Roman" w:eastAsia="仿宋_GB2312"/>
          <w:sz w:val="32"/>
        </w:rPr>
        <w:t>（二）对提供和接受色情陪侍的行为人，处1000元以上3000元以下罚款；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（三）对发生色情陪侍活动的营业场所，按照《娱乐场所管理条例》的规定处罚。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第十四条</w:t>
      </w:r>
      <w:r>
        <w:rPr>
          <w:rFonts w:ascii="仿宋_GB2312" w:hAnsi="仿宋_GB2312" w:eastAsia="仿宋_GB2312"/>
          <w:sz w:val="32"/>
        </w:rPr>
        <w:t>　被处罚的当事人和被处罚的营业场所的法定代表人或者经营负责人，对依照本条例处罚不服的，依据行政复议程序和行政诉讼程序，行使权利。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第十五条</w:t>
      </w:r>
      <w:r>
        <w:rPr>
          <w:rFonts w:ascii="仿宋_GB2312" w:hAnsi="仿宋_GB2312" w:eastAsia="仿宋_GB2312"/>
          <w:sz w:val="32"/>
        </w:rPr>
        <w:t>　人民警察不得经营或者变相经营娱乐、饮食、服务场所；不得为营业场所的非法经营活动提供保护。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违反前款规定的，给予行政处分；构成犯罪的，依法追究刑事责任。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第十六条</w:t>
      </w:r>
      <w:r>
        <w:rPr>
          <w:rFonts w:ascii="仿宋_GB2312" w:hAnsi="仿宋_GB2312" w:eastAsia="仿宋_GB2312"/>
          <w:sz w:val="32"/>
        </w:rPr>
        <w:t>　公安人员违反本条例规定，滥用职权、玩忽职守、徇私舞弊尚不构成犯罪的，由其所在单位或者上级主管部门给予行政处分。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第十七条</w:t>
      </w:r>
      <w:r>
        <w:rPr>
          <w:rFonts w:ascii="仿宋_GB2312" w:hAnsi="仿宋_GB2312" w:eastAsia="仿宋_GB2312"/>
          <w:sz w:val="32"/>
        </w:rPr>
        <w:t>　《公共场所治安检查证》由省公安机关统一印制。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第十八条</w:t>
      </w:r>
      <w:r>
        <w:rPr>
          <w:rFonts w:ascii="仿宋_GB2312" w:hAnsi="仿宋_GB2312" w:eastAsia="仿宋_GB2312"/>
          <w:sz w:val="32"/>
        </w:rPr>
        <w:t>　本条例具体应用中的问题，由省公安机关负责解释。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第十九条</w:t>
      </w:r>
      <w:r>
        <w:rPr>
          <w:rFonts w:ascii="仿宋_GB2312" w:hAnsi="仿宋_GB2312" w:eastAsia="仿宋_GB2312"/>
          <w:sz w:val="32"/>
        </w:rPr>
        <w:t>　本条例自颁布之日起施行。</w:t>
      </w:r>
    </w:p>
    <w:sectPr>
      <w:footerReference r:id="rId3" w:type="default"/>
      <w:footerReference r:id="rId4" w:type="even"/>
      <w:pgSz w:w="11906" w:h="16838"/>
      <w:pgMar w:top="2098" w:right="1474" w:bottom="1985" w:left="1588" w:header="851" w:footer="397" w:gutter="0"/>
      <w:cols w:space="708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ˎ̥">
    <w:altName w:val="宋体"/>
    <w:panose1 w:val="020B0604020202020204"/>
    <w:charset w:val="00"/>
    <w:family w:val="roman"/>
    <w:pitch w:val="default"/>
    <w:sig w:usb0="00000000" w:usb1="00000000" w:usb2="00000000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2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NotTrackMoves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NjYxMzQyM2ZjZmQxZmViNWE5ZWY0YWMwZGE0ZmQxNTQ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5F71"/>
    <w:rsid w:val="002E3D11"/>
    <w:rsid w:val="002F77E5"/>
    <w:rsid w:val="00303251"/>
    <w:rsid w:val="00307CD3"/>
    <w:rsid w:val="00315BE5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667BC"/>
    <w:rsid w:val="005A4A7E"/>
    <w:rsid w:val="005C49EF"/>
    <w:rsid w:val="005F0A94"/>
    <w:rsid w:val="00610663"/>
    <w:rsid w:val="00616EB4"/>
    <w:rsid w:val="0066351E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AE3FEB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3612D"/>
    <w:rsid w:val="00F4604E"/>
    <w:rsid w:val="00F53731"/>
    <w:rsid w:val="00F72984"/>
    <w:rsid w:val="00F7674E"/>
    <w:rsid w:val="00F97604"/>
    <w:rsid w:val="00FA7EE2"/>
    <w:rsid w:val="00FD0030"/>
    <w:rsid w:val="05EE09DC"/>
    <w:rsid w:val="0D9804AC"/>
    <w:rsid w:val="11E4354D"/>
    <w:rsid w:val="16DC7373"/>
    <w:rsid w:val="344634A2"/>
    <w:rsid w:val="3DE63740"/>
    <w:rsid w:val="481351D2"/>
    <w:rsid w:val="53543565"/>
    <w:rsid w:val="558A062C"/>
    <w:rsid w:val="622F12CF"/>
    <w:rsid w:val="653E08AD"/>
    <w:rsid w:val="71B9247E"/>
    <w:rsid w:val="7A287D5C"/>
    <w:rsid w:val="7F47D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仿宋_GB2312" w:cs="Times New Roman"/>
      <w:kern w:val="2"/>
      <w:sz w:val="32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unhideWhenUsed/>
    <w:qFormat/>
    <w:uiPriority w:val="99"/>
    <w:rPr>
      <w:color w:val="954F72"/>
      <w:u w:val="single"/>
    </w:rPr>
  </w:style>
  <w:style w:type="character" w:styleId="7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8">
    <w:name w:val="页脚 字符"/>
    <w:link w:val="2"/>
    <w:qFormat/>
    <w:uiPriority w:val="99"/>
    <w:rPr>
      <w:sz w:val="18"/>
      <w:szCs w:val="18"/>
    </w:rPr>
  </w:style>
  <w:style w:type="character" w:customStyle="1" w:styleId="9">
    <w:name w:val="页眉 字符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2017-11-15T10:33:00Z</dcterms:created>
  <dc:creator>YF-INT6</dc:creator>
  <cp:lastModifiedBy>striveforbetter</cp:lastModifiedBy>
  <dcterms:modified xsi:type="dcterms:W3CDTF">2023-11-04T12:08:48Z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9F633554657A46FBBBAB96484093276D</vt:lpwstr>
  </property>
  <property fmtid="{D5CDD505-2E9C-101B-9397-08002B2CF9AE}" pid="3" name="KSOProductBuildVer">
    <vt:lpwstr>2052-12.1.0.15374</vt:lpwstr>
  </property>
</Properties>
</file>