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val="0"/>
          <w:bCs w:val="0"/>
          <w:color w:val="000000"/>
          <w:kern w:val="0"/>
          <w:sz w:val="44"/>
          <w:szCs w:val="44"/>
        </w:rPr>
      </w:pPr>
    </w:p>
    <w:p>
      <w:pPr>
        <w:keepNext w:val="0"/>
        <w:keepLines w:val="0"/>
        <w:pageBreakBefore w:val="0"/>
        <w:widowControl w:val="0"/>
        <w:kinsoku/>
        <w:wordWrap/>
        <w:overflowPunct/>
        <w:topLinePunct w:val="0"/>
        <w:autoSpaceDE/>
        <w:autoSpaceDN/>
        <w:bidi w:val="0"/>
        <w:adjustRightInd/>
        <w:snapToGrid/>
        <w:spacing w:line="660" w:lineRule="exact"/>
        <w:jc w:val="center"/>
        <w:textAlignment w:val="auto"/>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辽宁省实施契税法授权事项的方案</w:t>
      </w:r>
    </w:p>
    <w:p>
      <w:pPr>
        <w:keepNext w:val="0"/>
        <w:keepLines w:val="0"/>
        <w:pageBreakBefore w:val="0"/>
        <w:kinsoku/>
        <w:wordWrap/>
        <w:overflowPunct/>
        <w:topLinePunct w:val="0"/>
        <w:autoSpaceDE/>
        <w:autoSpaceDN/>
        <w:bidi w:val="0"/>
        <w:spacing w:line="578" w:lineRule="exact"/>
        <w:textAlignment w:val="auto"/>
        <w:rPr>
          <w:rFonts w:eastAsia="方正小标宋简体"/>
          <w:b/>
          <w:sz w:val="32"/>
          <w:szCs w:val="32"/>
        </w:rPr>
      </w:pPr>
    </w:p>
    <w:p>
      <w:pPr>
        <w:keepNext w:val="0"/>
        <w:keepLines w:val="0"/>
        <w:pageBreakBefore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根据《中华人民共和国契税法》第三条、第七条授权地方明确事项相关规定，</w:t>
      </w:r>
      <w:r>
        <w:rPr>
          <w:rFonts w:hint="eastAsia" w:ascii="仿宋" w:hAnsi="仿宋" w:eastAsia="仿宋"/>
          <w:sz w:val="32"/>
          <w:szCs w:val="32"/>
          <w:lang w:eastAsia="zh-CN"/>
        </w:rPr>
        <w:t>结合本省实际，现对契税适用税率和相关免征或者减征契税具体办法规定如下</w:t>
      </w:r>
      <w:r>
        <w:rPr>
          <w:rFonts w:hint="eastAsia" w:ascii="仿宋" w:hAnsi="仿宋" w:eastAsia="仿宋"/>
          <w:sz w:val="32"/>
          <w:szCs w:val="32"/>
        </w:rPr>
        <w:t>：</w:t>
      </w:r>
    </w:p>
    <w:p>
      <w:pPr>
        <w:keepNext w:val="0"/>
        <w:keepLines w:val="0"/>
        <w:pageBreakBefore w:val="0"/>
        <w:kinsoku/>
        <w:wordWrap/>
        <w:overflowPunct/>
        <w:topLinePunct w:val="0"/>
        <w:autoSpaceDE/>
        <w:autoSpaceDN/>
        <w:bidi w:val="0"/>
        <w:adjustRightInd w:val="0"/>
        <w:snapToGrid w:val="0"/>
        <w:spacing w:line="578" w:lineRule="exact"/>
        <w:ind w:firstLine="632" w:firstLineChars="200"/>
        <w:textAlignment w:val="auto"/>
        <w:rPr>
          <w:rFonts w:eastAsia="黑体"/>
          <w:color w:val="000000"/>
          <w:sz w:val="32"/>
          <w:szCs w:val="32"/>
        </w:rPr>
      </w:pPr>
      <w:r>
        <w:rPr>
          <w:rFonts w:eastAsia="黑体"/>
          <w:sz w:val="32"/>
          <w:szCs w:val="32"/>
        </w:rPr>
        <w:t>一、契税</w:t>
      </w:r>
      <w:r>
        <w:rPr>
          <w:rFonts w:eastAsia="黑体"/>
          <w:color w:val="000000"/>
          <w:sz w:val="32"/>
          <w:szCs w:val="32"/>
        </w:rPr>
        <w:t>税率</w:t>
      </w:r>
    </w:p>
    <w:p>
      <w:pPr>
        <w:keepNext w:val="0"/>
        <w:keepLines w:val="0"/>
        <w:pageBreakBefore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olor w:val="000000"/>
          <w:kern w:val="0"/>
          <w:sz w:val="32"/>
          <w:szCs w:val="32"/>
        </w:rPr>
      </w:pPr>
      <w:r>
        <w:rPr>
          <w:rFonts w:hint="eastAsia" w:ascii="仿宋" w:hAnsi="仿宋" w:eastAsia="仿宋"/>
          <w:color w:val="000000"/>
          <w:kern w:val="0"/>
          <w:sz w:val="32"/>
          <w:szCs w:val="32"/>
        </w:rPr>
        <w:t>辽宁省契税税率为4%，对个人购买普通住房的税率减按3%征收。</w:t>
      </w:r>
    </w:p>
    <w:p>
      <w:pPr>
        <w:pStyle w:val="4"/>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578" w:lineRule="exact"/>
        <w:ind w:firstLine="632" w:firstLineChars="200"/>
        <w:jc w:val="both"/>
        <w:textAlignment w:val="auto"/>
        <w:rPr>
          <w:rFonts w:ascii="Times New Roman" w:hAnsi="Times New Roman" w:eastAsia="黑体"/>
          <w:sz w:val="32"/>
          <w:szCs w:val="32"/>
        </w:rPr>
      </w:pPr>
      <w:r>
        <w:rPr>
          <w:rFonts w:ascii="Times New Roman" w:hAnsi="Times New Roman" w:eastAsia="黑体"/>
          <w:color w:val="000000"/>
          <w:sz w:val="32"/>
          <w:szCs w:val="32"/>
        </w:rPr>
        <w:t>二、契税特定</w:t>
      </w:r>
      <w:r>
        <w:rPr>
          <w:rFonts w:ascii="Times New Roman" w:hAnsi="Times New Roman" w:eastAsia="黑体"/>
          <w:sz w:val="32"/>
          <w:szCs w:val="32"/>
        </w:rPr>
        <w:t>情形减免税规定</w:t>
      </w:r>
    </w:p>
    <w:p>
      <w:pPr>
        <w:keepNext w:val="0"/>
        <w:keepLines w:val="0"/>
        <w:pageBreakBefore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（一）因土地、房屋被县级以上人民政府征收、征用，在本省行政区域内重新承受土地、房屋权属的，成交价格未超出货币补偿部分免征契税，超出部分应依法征收契税。</w:t>
      </w:r>
    </w:p>
    <w:p>
      <w:pPr>
        <w:keepNext w:val="0"/>
        <w:keepLines w:val="0"/>
        <w:pageBreakBefore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（二）因不可抗力灭失住房，重新承受住房权属的，经县级以上人民政府指定的相关部门认定，免征契税。</w:t>
      </w:r>
    </w:p>
    <w:p>
      <w:pPr>
        <w:pStyle w:val="4"/>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578" w:lineRule="exact"/>
        <w:ind w:firstLine="632" w:firstLineChars="200"/>
        <w:jc w:val="both"/>
        <w:textAlignment w:val="auto"/>
        <w:rPr>
          <w:rFonts w:ascii="Times New Roman" w:hAnsi="Times New Roman" w:eastAsia="黑体"/>
          <w:sz w:val="32"/>
          <w:szCs w:val="32"/>
        </w:rPr>
      </w:pPr>
      <w:r>
        <w:rPr>
          <w:rFonts w:ascii="Times New Roman" w:hAnsi="Times New Roman" w:eastAsia="黑体"/>
          <w:color w:val="000000"/>
          <w:sz w:val="32"/>
          <w:szCs w:val="32"/>
        </w:rPr>
        <w:t>三、契税特定</w:t>
      </w:r>
      <w:r>
        <w:rPr>
          <w:rFonts w:ascii="Times New Roman" w:hAnsi="Times New Roman" w:eastAsia="黑体"/>
          <w:sz w:val="32"/>
          <w:szCs w:val="32"/>
        </w:rPr>
        <w:t>情形减免税办法</w:t>
      </w:r>
    </w:p>
    <w:p>
      <w:pPr>
        <w:keepNext w:val="0"/>
        <w:keepLines w:val="0"/>
        <w:pageBreakBefore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符合上述规定（一）、（二）项情形的，纳税人应按照规定程序申报享受税收减免，相关资料留存备查。</w:t>
      </w:r>
    </w:p>
    <w:p>
      <w:pPr>
        <w:keepNext w:val="0"/>
        <w:keepLines w:val="0"/>
        <w:pageBreakBefore w:val="0"/>
        <w:kinsoku/>
        <w:wordWrap/>
        <w:overflowPunct/>
        <w:topLinePunct w:val="0"/>
        <w:autoSpaceDE/>
        <w:autoSpaceDN/>
        <w:bidi w:val="0"/>
        <w:adjustRightInd w:val="0"/>
        <w:snapToGrid w:val="0"/>
        <w:spacing w:line="578" w:lineRule="exact"/>
        <w:ind w:firstLine="632" w:firstLineChars="200"/>
        <w:jc w:val="left"/>
        <w:textAlignment w:val="auto"/>
        <w:rPr>
          <w:rFonts w:hint="eastAsia" w:ascii="仿宋" w:hAnsi="仿宋" w:eastAsia="仿宋"/>
          <w:sz w:val="32"/>
          <w:szCs w:val="32"/>
        </w:rPr>
      </w:pPr>
      <w:r>
        <w:rPr>
          <w:rFonts w:hint="eastAsia" w:ascii="仿宋" w:hAnsi="仿宋" w:eastAsia="仿宋"/>
          <w:sz w:val="32"/>
          <w:szCs w:val="32"/>
        </w:rPr>
        <w:t>税务机关应当与自然资源、住房城乡建设等相关部门加强联系，建立契税涉税信息共享和工作配合机制。根据工作需要，主管税务机关可提请当地同级自然资源、住房城乡建设等主管部门提供土地、房屋的征收、征用和因不可抗力灭失住房等相关信息，自然资源、住房城乡建设等相关部门应予以协助支持。</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left"/>
        <w:textAlignment w:val="auto"/>
        <w:rPr>
          <w:rFonts w:hint="eastAsia" w:ascii="仿宋" w:hAnsi="仿宋" w:eastAsia="仿宋"/>
          <w:sz w:val="32"/>
          <w:szCs w:val="32"/>
        </w:rPr>
      </w:pPr>
      <w:r>
        <w:rPr>
          <w:rFonts w:hint="eastAsia" w:ascii="仿宋" w:hAnsi="仿宋" w:eastAsia="仿宋"/>
          <w:sz w:val="32"/>
          <w:szCs w:val="32"/>
        </w:rPr>
        <w:t>本</w:t>
      </w:r>
      <w:r>
        <w:rPr>
          <w:rFonts w:hint="eastAsia" w:ascii="仿宋" w:hAnsi="仿宋" w:eastAsia="仿宋"/>
          <w:sz w:val="32"/>
          <w:szCs w:val="32"/>
          <w:lang w:eastAsia="zh-CN"/>
        </w:rPr>
        <w:t>方案</w:t>
      </w:r>
      <w:r>
        <w:rPr>
          <w:rFonts w:hint="eastAsia" w:ascii="仿宋" w:hAnsi="仿宋" w:eastAsia="仿宋"/>
          <w:sz w:val="32"/>
          <w:szCs w:val="32"/>
        </w:rPr>
        <w:t>自2021年9月1日起施行。</w:t>
      </w: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bookmarkStart w:id="0" w:name="_GoBack"/>
      <w:bookmarkEnd w:id="0"/>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2010601030101010101"/>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28A40E1"/>
    <w:rsid w:val="1A3462F0"/>
    <w:rsid w:val="1F0E6564"/>
    <w:rsid w:val="210E55B1"/>
    <w:rsid w:val="22B42F70"/>
    <w:rsid w:val="249F3CBB"/>
    <w:rsid w:val="2B677CD1"/>
    <w:rsid w:val="2DD277F4"/>
    <w:rsid w:val="2E2300E0"/>
    <w:rsid w:val="2F821D4F"/>
    <w:rsid w:val="32164E19"/>
    <w:rsid w:val="34D8055D"/>
    <w:rsid w:val="399A5028"/>
    <w:rsid w:val="3C63501C"/>
    <w:rsid w:val="46186CAD"/>
    <w:rsid w:val="47C64783"/>
    <w:rsid w:val="4A491815"/>
    <w:rsid w:val="50E7137D"/>
    <w:rsid w:val="53606EBF"/>
    <w:rsid w:val="59584D65"/>
    <w:rsid w:val="598E0BAD"/>
    <w:rsid w:val="5D65588C"/>
    <w:rsid w:val="5D9E02CE"/>
    <w:rsid w:val="665436CC"/>
    <w:rsid w:val="67C163AA"/>
    <w:rsid w:val="690A31C3"/>
    <w:rsid w:val="69C23663"/>
    <w:rsid w:val="6CB31C70"/>
    <w:rsid w:val="71A20001"/>
    <w:rsid w:val="741902F1"/>
    <w:rsid w:val="74DF1822"/>
    <w:rsid w:val="76747762"/>
    <w:rsid w:val="79391A84"/>
    <w:rsid w:val="7DAA533D"/>
    <w:rsid w:val="7DD1597C"/>
    <w:rsid w:val="7E6E5B9A"/>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1">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1"/>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3">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4">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5">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6">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7">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8">
    <w:name w:val="普通(网站) New"/>
    <w:basedOn w:val="19"/>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9">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2">
    <w:name w:val="bjh-p"/>
    <w:qFormat/>
    <w:uiPriority w:val="0"/>
  </w:style>
  <w:style w:type="paragraph" w:customStyle="1" w:styleId="23">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普通(网站) New New"/>
    <w:basedOn w:val="25"/>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5">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6">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28">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29">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0">
    <w:name w:val="HTML Address"/>
    <w:basedOn w:val="29"/>
    <w:qFormat/>
    <w:uiPriority w:val="0"/>
    <w:rPr>
      <w:i/>
    </w:rPr>
  </w:style>
  <w:style w:type="character" w:customStyle="1" w:styleId="31">
    <w:name w:val="NormalCharacter"/>
    <w:qFormat/>
    <w:uiPriority w:val="0"/>
  </w:style>
  <w:style w:type="paragraph" w:customStyle="1" w:styleId="3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rPr>
  </w:style>
  <w:style w:type="paragraph" w:customStyle="1" w:styleId="33">
    <w:name w:val="正文 New New New New New New New New New New New New New New New New New New New New New New"/>
    <w:uiPriority w:val="0"/>
    <w:pPr>
      <w:widowControl w:val="0"/>
      <w:jc w:val="both"/>
    </w:pPr>
    <w:rPr>
      <w:rFonts w:ascii="宋体" w:hAnsi="宋体" w:eastAsia="方正仿宋简体" w:cs="Times New Roman"/>
      <w:kern w:val="2"/>
      <w:sz w:val="32"/>
      <w:szCs w:val="24"/>
      <w:lang w:val="en-US" w:eastAsia="zh-CN" w:bidi="ar-SA"/>
    </w:rPr>
  </w:style>
  <w:style w:type="paragraph" w:customStyle="1" w:styleId="34">
    <w:name w:val="Normal"/>
    <w:uiPriority w:val="0"/>
    <w:pPr>
      <w:widowControl w:val="0"/>
      <w:jc w:val="both"/>
    </w:pPr>
    <w:rPr>
      <w:rFonts w:hint="eastAsia" w:ascii="Times New Roman" w:hAnsi="Times New Roman" w:eastAsia="宋体" w:cs="Times New Roman"/>
      <w:kern w:val="2"/>
      <w:sz w:val="21"/>
      <w:lang w:val="en-US" w:eastAsia="zh-CN"/>
    </w:rPr>
  </w:style>
  <w:style w:type="paragraph" w:customStyle="1" w:styleId="35">
    <w:name w:val="正文 New"/>
    <w:uiPriority w:val="0"/>
    <w:pPr>
      <w:widowControl w:val="0"/>
      <w:jc w:val="both"/>
    </w:pPr>
    <w:rPr>
      <w:rFonts w:ascii="Calibri" w:hAnsi="Calibri" w:eastAsia="宋体"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1</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msc</cp:lastModifiedBy>
  <cp:lastPrinted>2020-05-12T08:39:00Z</cp:lastPrinted>
  <dcterms:modified xsi:type="dcterms:W3CDTF">2021-08-03T00:31:25Z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