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辽宁省母婴保健条例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（1995年11月25日辽宁省第八届人民代表大会常务委员会第十八次会议通过  根据2004年6月30日辽宁省第十届人民代表大会常务委员会第十二次会议《关于修改〈辽宁省母婴保健条例〉的决定》修正）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仿宋" w:hAnsi="仿宋" w:eastAsia="仿宋" w:cs="仿宋"/>
          <w:sz w:val="32"/>
          <w:szCs w:val="32"/>
          <w:lang w:eastAsia="zh-CN"/>
        </w:rPr>
        <w:fldChar w:fldCharType="begin"/>
      </w:r>
      <w:r>
        <w:rPr>
          <w:rFonts w:hint="eastAsia" w:ascii="仿宋" w:hAnsi="仿宋" w:eastAsia="仿宋" w:cs="仿宋"/>
          <w:sz w:val="32"/>
          <w:szCs w:val="32"/>
          <w:lang w:eastAsia="zh-CN"/>
        </w:rPr>
        <w:instrText xml:space="preserve">TOC \o "1-1" \n  \h \u </w:instrText>
      </w:r>
      <w:r>
        <w:rPr>
          <w:rFonts w:hint="eastAsia" w:ascii="仿宋" w:hAnsi="仿宋" w:eastAsia="仿宋" w:cs="仿宋"/>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_Toc1903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_Toc3883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婚前保健</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_Toc10718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孕产期保健</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_Toc2877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婴幼儿保健</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_Toc15656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技术鉴定</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_Toc9726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行政管理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_Toc11688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w:t>
      </w:r>
      <w:bookmarkStart w:id="8" w:name="_GoBack"/>
      <w:bookmarkEnd w:id="8"/>
      <w:r>
        <w:rPr>
          <w:rFonts w:hint="eastAsia" w:ascii="楷体" w:hAnsi="楷体" w:eastAsia="楷体" w:cs="楷体"/>
          <w:sz w:val="32"/>
          <w:szCs w:val="32"/>
        </w:rPr>
        <w:t>奖励与处罚</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_Toc22104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仿宋" w:hAnsi="仿宋" w:eastAsia="仿宋" w:cs="仿宋"/>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903"/>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为保障母亲和婴儿健康，提高出生人口素质，根据《中华人民共和国母婴保健法》（以下简称《母婴保健法》），结合我省实际，制定本条例。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凡在我省行政区域内的一切单位和个人，必须遵守本条例。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母婴保健工作实行以保健为中心、保健与临床相结合，面向群体、面向基层和预防为主的工作方针。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各级人民政府应当加强对母婴保健工作的领导，将母婴保健事业纳入本地区国民经济和社会发展计划，逐步增加对母婴保健事业的投入，完善行政管理，建立健全技术服务体系，实行母婴保健保偿责任制，组织、协调有关部门做好母婴保健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省、市（指设区的市，下同）、县（含自治县、县级市、区，下同）卫生行政部门按照分级管理、分类指导的原则，监督管理本行政区域内母婴保健工作。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民政、计划生育、教育、科技、公安等有关部门在各自职责范围内，配合卫生行政部门做好母婴保健工作。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居（村）民委员会应当协助政府有关部门做好母婴保健工作。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机关、团体、企业、事业单位应当严格执行国家有关女职工劳动保护规定，做好本单位母婴保健工作。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工会、妇联、共青团组织应当结合自身特点和职责，协助政府有关部门和本单位领导，做好母婴保健工作。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388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婚前保健</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开展婚前医学检查业务前，医疗保健机构应当向市卫生行政部门提出申请，由其按照国务院卫生行政部门规定的条件和技术标准进行审查。符合条件和标准的，经许可后方可进行。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医疗保健机构必须单独设立婚前医学检查门诊，按照国务院卫生行政部门规定的项目开展婚前医学检查，执行省财政、物价部门制定的医疗机构收费项目和标准，不得减少或者增加检查项目和提高收费标准。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从事婚前医学检查的人员，应当符合国务院卫生行政部门规定的条件，经市卫生行政部门考核，取得相应的合格证书。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从事婚前保健服务的医务人员，应当遵守职业道德，文明服务，认真回答当事人的有关咨询，尊重当事人的人格尊严，为当事人保守秘密。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准备结婚的男女双方在申请结婚登记前，应当到指定的医疗保健机构接受婚前医学检查。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接受婚前医学检查的男女双方，应当如实回答与婚前医学检查相关的询问，了解婚前保健知识。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边远贫困地区或者交费确有困难的人员，其婚前医学检查费用，当地人民政府应当给予减免。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经婚前医学检查论断，有下列情形之一不宜生育的，应当采取长效避孕措施或者施行结扎手术：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（一）患医学上认为不宜生育的严重遗传性疾病；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（二）双方为遗传性中度智力障碍或者一方为遗传性重度智力障碍；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（三）双方或者女方患有地方性克汀病。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对《母婴保健法》规定的指定传染病、严重遗传性疾病有关精神病和本条例规定的疾病实行首诊报告制度。</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071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孕产期保健</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医疗保健机构应当按照市以上卫生行政部门划定的区域，负责对育龄妇女和孕产妇提供医疗保健服务。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医疗保健机构应当执行卫生行政部门制定的有关孕产妇保健技术管理常规，建立健全各项规章制度，认真履行职责。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严禁采用技术手段对胎儿进行性别鉴定。医学上确实需要对胎儿进行性别鉴定的，必须由省卫生行政部门指定的医疗保健机构按照国务院卫生行政部门的规定进行。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从事接生的医务人员应当严格遵守有关操作规程和各项规章制度，准确填写《孕产妇保健册》，提高助产技术和服务质量，预防和减少产伤、产后出血。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城市（不含县级人民政府所在地以外的建制镇）不得设立助产接生站或个体接生诊所。未取得县以上卫生行政部门颁发的《家庭接生员技术合格证书》的人员，禁止从事家庭接生。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孕妇应当在怀孕12周内到指定的医疗保健机构，定期接受产前检查。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孕产妇有了解保健内容和检查结果的权利。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依照《母婴保健法》和本条例规定施行终止妊娠手术或者结扎手术的，应当按国家规定享受休假，手术费用按劳保医疗和公费医疗报销；不享受劳保医疗和公费医疗的，由当地人民政府解决。</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87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婴幼儿保健</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第二十一条 </w:t>
      </w:r>
      <w:r>
        <w:rPr>
          <w:rFonts w:hint="eastAsia" w:ascii="仿宋" w:hAnsi="仿宋" w:eastAsia="仿宋" w:cs="仿宋"/>
          <w:sz w:val="32"/>
          <w:szCs w:val="32"/>
        </w:rPr>
        <w:t xml:space="preserve"> 医疗保健机构应当宣传科学育儿知识，推选和支持母乳喂养，为新生儿生长发育提供医疗保健服务。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医疗保健机构应当为婴幼儿定期进行体格检查和预防接种，开展婴幼儿疾病筛查：对婴幼儿常见病进行防治和分类指导。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新生儿父母或者其他监护人应当在新生儿出生两周内，持《孕产妇保健册》和《儿童保健手册》到指定的医疗保健机构办理新生儿《出生医学证明》，进行儿童保健登记，按时接受体格检查和预防接种。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rPr>
        <w:t xml:space="preserve"> 医疗保健机构按照分级管理的原则，负责分管范围内托幼园所卫生保健的业务指导和监测。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托幼园所的园舍和设施必须符合国家卫生标准，并建立健全预防传染病流行和食物中毒等各项卫生保健制度。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直接从事看护婴幼儿职业的人员，必须每年到指定的医疗保健机构检查身体，取得《健康证明书》。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儿童入托入园，应当持《儿童保健手册》和《儿童预防接种证》到指定的医疗保健机构进行健康检查。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托幼园所招收儿童，应当查验其《健康证明》、《儿童保健手册》和《儿童预防接种证》。</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565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技术鉴定</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县以上人民政府设立的母婴保健医学技术鉴定委员会负责对婚前医学检查、遗传病诊断和产前诊断结果有异议的进行医学技术鉴定。其办事机构设在同级卫生行政部门。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对医疗保健机构出具的婚前医学检查、遗传病诊断、产前诊断结果持有异议的当事人，可以在接到检查、诊断结果15日内向当地母婴保健医学技术鉴定委员会提出医学技术鉴定的书面申请，同时提供有关资料，并按规定交纳鉴定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母婴保健医学技术鉴定委员会应当在收到鉴定申请之日起30日内作出医学技术鉴定结论。对鉴定结论有异议的，可以在收到鉴定结论15日内，向上一级母婴保健医学技术鉴定委员会申请重新鉴定。上一级母婴保健医学技术鉴定委员会应当在30日内作出鉴定结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母婴保健医学技术鉴定委员会成员与申请鉴定的当事人有利害关系的应当回避。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母婴保健医学技术鉴定实行县、市、省三级鉴定制。省母婴保健医学技术鉴定委员会的鉴定结论为最终鉴定结论。</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972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行政管理</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县以上卫生行政部门负责本行政区域内母婴保健工作的管理和监督，其主要职责是：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（一）组织实施母婴保健法律、法规，依法进行监督管理；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（二）依法制定母婴保健工作规范性文件和技术管理措施；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（三）培训、考核母婴保健执法监督、监测人员；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（四）审查或者批准医疗保健机构开展婚前医学检查、遗传病诊断、产前诊断、施行节育手术、孕产期保健、婴幼儿保健业务；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（五）考核从事遗传病诊断、产前诊断、婚前医学检查、施行结扎手术、终止妊娠手术和家庭接生人员，并颁发相应合格证书；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（六）监督托幼园所卫生保健工作；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（七）依照《母婴保健法》，本条例实施奖励和处罚；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（八）负责本行政区域内母婴保健工作的组织、规划、技术管理和宣传教育。</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医疗保健机构依照本条例开展母婴保健服务实行许可证制度。本条例规定使用的许可证、合格证、婚前医学检查证明、出生医学证明和医学鉴定证明，必须是国务院卫生行政部门统一制定的。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婚姻登记管理机关办理结婚登记时，必须依法查验婚前医学检查证明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或者医学鉴定证明并备案。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经婚前医学检查认为应当暂缓结婚的，暂缓办理结婚登记；不宜生育的经男女双方同意，采取长效避孕措施或者施行结扎手术后不生育的，方可办理结婚登记。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计划生育行政部门审批、发放生育指标时，必须依法查验婚前医学检查证明或者医学鉴定证明。对取得婚前医学检查证明适宜生育的，方可发放生育指标。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第三十四条 </w:t>
      </w:r>
      <w:r>
        <w:rPr>
          <w:rFonts w:hint="eastAsia" w:ascii="仿宋" w:hAnsi="仿宋" w:eastAsia="仿宋" w:cs="仿宋"/>
          <w:sz w:val="32"/>
          <w:szCs w:val="32"/>
        </w:rPr>
        <w:t xml:space="preserve"> 公安机关办理新生儿户籍登记时，必须依法查验新生儿《出生医学证明》。对取得《出生医学证明》的，方可办理户籍登记。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教育、科技行政部门应当制定母婴保健教育、科学研究以及科研成果推广计划。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新闻出版、广播电视、文化等行政部门应当将母婴保健宣传列入计划，面向社会宣传母婴保健法律、法规和母婴保健科学知识。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第三十六条 </w:t>
      </w:r>
      <w:r>
        <w:rPr>
          <w:rFonts w:hint="eastAsia" w:ascii="仿宋" w:hAnsi="仿宋" w:eastAsia="仿宋" w:cs="仿宋"/>
          <w:sz w:val="32"/>
          <w:szCs w:val="32"/>
        </w:rPr>
        <w:t xml:space="preserve"> 县以上卫生行政部门可以聘任母婴保健监督员。母婴保健监督员在本级卫生行政部门领导下，进行母婴保健监督。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母婴保健监督员应当在现职从事母婴保健管理工作或者业务工作3年以上的人员中聘任，报市以上卫生行政部门审批。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医疗保健机构在本级卫生行政部门的领导下，负责母婴保健技术服务和技术指导、监测工作。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1168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奖励与处罚</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对在母婴保健工作中作出突出贡献的单位或者个人，其主管部门、卫生行政部门、各级人民政府应当给予表彰和奖励：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（一）在母婴保健组织领导、监督管理工作中做出显著成绩的；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（二）在母婴保健科学研究中取得市以上科研成果的；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（三）在推广母婴保健先进实用技术、普及母婴保健科学知识及宣传教育中作出突出贡献的。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第三十九条 </w:t>
      </w:r>
      <w:r>
        <w:rPr>
          <w:rFonts w:hint="eastAsia" w:ascii="仿宋" w:hAnsi="仿宋" w:eastAsia="仿宋" w:cs="仿宋"/>
          <w:sz w:val="32"/>
          <w:szCs w:val="32"/>
        </w:rPr>
        <w:t xml:space="preserve"> 违反《母婴保健法》和本条例规定，有下列行为之一的单位或者个人，由县以上卫生行政部门责令改正，可并处500元至5000元罚款：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（一）增加或者减少婚前医学检查项目的；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（二）未按规定报告孕产妇死亡、婴儿死亡以及新生儿出生缺陷情况的；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（三）未按规定实行有关疾病首诊报告的。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擅自进行胎儿性别鉴定的当事人、责任者及其单位，由县以上卫生行政部门按每例处以1000元至2000元罚款，并没收责任者及其单位的全部非法所得，并视情节给予行政处分；情节严重的，取消其执业资格，直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第四十一条  </w:t>
      </w:r>
      <w:r>
        <w:rPr>
          <w:rFonts w:hint="eastAsia" w:ascii="仿宋" w:hAnsi="仿宋" w:eastAsia="仿宋" w:cs="仿宋"/>
          <w:sz w:val="32"/>
          <w:szCs w:val="32"/>
        </w:rPr>
        <w:t>未取得卫生行政部门颁发的有关合格证书，擅自从事婚前医学检查、遗传病诊断、产前诊断、接生、医学技术鉴定、施行终止妊娠手术、结扎手术、出具医学证明的单位或者个人，由县以上卫生行政部门给予警告、责令停止非法活动、没收全部非法所得，可并处以5000元至 20000元罚款。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对直接责任人和单位负责人由所在单位或者上级主管部门给予行政处分，情节严重的，由卫生行政部门取消其执业资格。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对违反本条例，有下列行为之一的托幼园所，由县以上卫生行政部门予以警告、责令限期改正；逾期未改正的，视情节处以200元至1000元罚款：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（一）未按规定建立健全卫生保健制度的；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（二）招收儿童入园入托，未按规定查验其《健康证明》《儿童保健手册》《儿童预防接种证》的；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（三）直接从事看护婴幼儿职业的人员未取得《健康证明书》的。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对不符合国家卫生标准而开办托幼园所的，按照国务院和省人民政府的有关规定予以处罚。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不符合国家卫生标准的，应当通知教育行政部门。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第四十三条 </w:t>
      </w:r>
      <w:r>
        <w:rPr>
          <w:rFonts w:hint="eastAsia" w:ascii="仿宋" w:hAnsi="仿宋" w:eastAsia="仿宋" w:cs="仿宋"/>
          <w:sz w:val="32"/>
          <w:szCs w:val="32"/>
        </w:rPr>
        <w:t xml:space="preserve"> 未取得国家颁发的有关合格证书，施行终止妊娠手术或者采取其他方法终止妊娠，致人死亡、残疾、丧失或者基本丧失劳动能力的，依法追究刑事责任。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当事人对处罚决定不服的，可依法申请行政复议或者向人民法院起诉。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执行罚款和没收非法所得，应当出具财政部门统一印制的罚没票据。罚没款全部上缴同级财政部门。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卫生、民政、计划生育、公安、教育等行政部门和医疗保健机构的工作人员违反《母婴保健法》和本条例，徇私舞弊、玩忽职守、滥用职权的，由所在单位或者上级主管部门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2210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附    则</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本条例所称的医疗保健机构，是指各级妇幼保健机构和符合国家规定经登记取得《医疗机构执业许可证》的医疗机构。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第四十八条 </w:t>
      </w:r>
      <w:r>
        <w:rPr>
          <w:rFonts w:hint="eastAsia" w:ascii="仿宋" w:hAnsi="仿宋" w:eastAsia="仿宋" w:cs="仿宋"/>
          <w:sz w:val="32"/>
          <w:szCs w:val="32"/>
        </w:rPr>
        <w:t xml:space="preserve"> 本条例应用中的具体问题，由省卫生行政部门负责解释。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本条例自公布之日起施行。《辽宁省防止劣生条例》同时废止。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D27DA7"/>
    <w:rsid w:val="02123303"/>
    <w:rsid w:val="02DC1B4A"/>
    <w:rsid w:val="030B094A"/>
    <w:rsid w:val="03187345"/>
    <w:rsid w:val="03386AA5"/>
    <w:rsid w:val="03400271"/>
    <w:rsid w:val="04A11D33"/>
    <w:rsid w:val="04E00FF6"/>
    <w:rsid w:val="04F51BA1"/>
    <w:rsid w:val="05266E56"/>
    <w:rsid w:val="054A6246"/>
    <w:rsid w:val="05B10E1F"/>
    <w:rsid w:val="064B52D3"/>
    <w:rsid w:val="06FE6E5A"/>
    <w:rsid w:val="090C6FF4"/>
    <w:rsid w:val="0A544FD8"/>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6229FB"/>
    <w:rsid w:val="1E8C04FB"/>
    <w:rsid w:val="1F487ACC"/>
    <w:rsid w:val="1FCA6FF6"/>
    <w:rsid w:val="20103889"/>
    <w:rsid w:val="20316386"/>
    <w:rsid w:val="20590C69"/>
    <w:rsid w:val="20B059AB"/>
    <w:rsid w:val="20CA13F1"/>
    <w:rsid w:val="20EF61E1"/>
    <w:rsid w:val="223E6956"/>
    <w:rsid w:val="240D4646"/>
    <w:rsid w:val="243A5414"/>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4AF477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7E43ED"/>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A83042"/>
    <w:rsid w:val="56C277FA"/>
    <w:rsid w:val="57EA54B3"/>
    <w:rsid w:val="585602DF"/>
    <w:rsid w:val="590E0F79"/>
    <w:rsid w:val="59643F7B"/>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37F26AF"/>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9C429C"/>
    <w:rsid w:val="70F53D21"/>
    <w:rsid w:val="717C33E8"/>
    <w:rsid w:val="7269452B"/>
    <w:rsid w:val="72821180"/>
    <w:rsid w:val="72EF5052"/>
    <w:rsid w:val="732C51EB"/>
    <w:rsid w:val="73DB0054"/>
    <w:rsid w:val="746E6EE2"/>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