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辽宁省防震减灾条例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（2011年3月30日辽宁省第十一届人民代表大会常务委员会第二十二次会议通过）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7"/>
        <w:tabs>
          <w:tab w:val="right" w:pos="8844"/>
        </w:tabs>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_Toc21361 </w:instrText>
      </w:r>
      <w:r>
        <w:rPr>
          <w:rFonts w:hint="eastAsia" w:ascii="楷体" w:hAnsi="楷体" w:eastAsia="楷体" w:cs="楷体"/>
          <w:szCs w:val="32"/>
          <w:lang w:eastAsia="zh-CN"/>
        </w:rPr>
        <w:fldChar w:fldCharType="separate"/>
      </w:r>
      <w:r>
        <w:rPr>
          <w:rFonts w:hint="eastAsia"/>
        </w:rPr>
        <w:t>第一章  总    则</w:t>
      </w:r>
      <w:r>
        <w:rPr>
          <w:rFonts w:hint="eastAsia" w:ascii="楷体" w:hAnsi="楷体" w:eastAsia="楷体" w:cs="楷体"/>
          <w:szCs w:val="32"/>
          <w:lang w:eastAsia="zh-CN"/>
        </w:rPr>
        <w:fldChar w:fldCharType="end"/>
      </w:r>
    </w:p>
    <w:p>
      <w:pPr>
        <w:pStyle w:val="7"/>
        <w:tabs>
          <w:tab w:val="right" w:pos="8844"/>
        </w:tabs>
      </w:pP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_Toc4526 </w:instrText>
      </w:r>
      <w:r>
        <w:rPr>
          <w:rFonts w:hint="eastAsia" w:ascii="楷体" w:hAnsi="楷体" w:eastAsia="楷体" w:cs="楷体"/>
          <w:szCs w:val="32"/>
          <w:lang w:eastAsia="zh-CN"/>
        </w:rPr>
        <w:fldChar w:fldCharType="separate"/>
      </w:r>
      <w:r>
        <w:rPr>
          <w:rFonts w:hint="eastAsia"/>
        </w:rPr>
        <w:t>第二章  防震减灾规划</w:t>
      </w:r>
      <w:r>
        <w:rPr>
          <w:rFonts w:hint="eastAsia" w:ascii="楷体" w:hAnsi="楷体" w:eastAsia="楷体" w:cs="楷体"/>
          <w:szCs w:val="32"/>
          <w:lang w:eastAsia="zh-CN"/>
        </w:rPr>
        <w:fldChar w:fldCharType="end"/>
      </w:r>
    </w:p>
    <w:p>
      <w:pPr>
        <w:pStyle w:val="7"/>
        <w:tabs>
          <w:tab w:val="right" w:pos="8844"/>
        </w:tabs>
      </w:pP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_Toc7144 </w:instrText>
      </w:r>
      <w:r>
        <w:rPr>
          <w:rFonts w:hint="eastAsia" w:ascii="楷体" w:hAnsi="楷体" w:eastAsia="楷体" w:cs="楷体"/>
          <w:szCs w:val="32"/>
          <w:lang w:eastAsia="zh-CN"/>
        </w:rPr>
        <w:fldChar w:fldCharType="separate"/>
      </w:r>
      <w:r>
        <w:rPr>
          <w:rFonts w:hint="eastAsia"/>
        </w:rPr>
        <w:t>第三章  地震监测和预报</w:t>
      </w:r>
      <w:r>
        <w:rPr>
          <w:rFonts w:hint="eastAsia" w:ascii="楷体" w:hAnsi="楷体" w:eastAsia="楷体" w:cs="楷体"/>
          <w:szCs w:val="32"/>
          <w:lang w:eastAsia="zh-CN"/>
        </w:rPr>
        <w:fldChar w:fldCharType="end"/>
      </w:r>
    </w:p>
    <w:p>
      <w:pPr>
        <w:pStyle w:val="7"/>
        <w:tabs>
          <w:tab w:val="right" w:pos="8844"/>
        </w:tabs>
      </w:pP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_Toc214 </w:instrText>
      </w:r>
      <w:r>
        <w:rPr>
          <w:rFonts w:hint="eastAsia" w:ascii="楷体" w:hAnsi="楷体" w:eastAsia="楷体" w:cs="楷体"/>
          <w:szCs w:val="32"/>
          <w:lang w:eastAsia="zh-CN"/>
        </w:rPr>
        <w:fldChar w:fldCharType="separate"/>
      </w:r>
      <w:r>
        <w:rPr>
          <w:rFonts w:hint="eastAsia"/>
        </w:rPr>
        <w:t>第四章  地震灾害预防</w:t>
      </w:r>
      <w:r>
        <w:rPr>
          <w:rFonts w:hint="eastAsia" w:ascii="楷体" w:hAnsi="楷体" w:eastAsia="楷体" w:cs="楷体"/>
          <w:szCs w:val="32"/>
          <w:lang w:eastAsia="zh-CN"/>
        </w:rPr>
        <w:fldChar w:fldCharType="end"/>
      </w:r>
    </w:p>
    <w:p>
      <w:pPr>
        <w:pStyle w:val="7"/>
        <w:tabs>
          <w:tab w:val="right" w:pos="8844"/>
        </w:tabs>
      </w:pP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_Toc4076 </w:instrText>
      </w:r>
      <w:r>
        <w:rPr>
          <w:rFonts w:hint="eastAsia" w:ascii="楷体" w:hAnsi="楷体" w:eastAsia="楷体" w:cs="楷体"/>
          <w:szCs w:val="32"/>
          <w:lang w:eastAsia="zh-CN"/>
        </w:rPr>
        <w:fldChar w:fldCharType="separate"/>
      </w:r>
      <w:r>
        <w:rPr>
          <w:rFonts w:hint="eastAsia"/>
        </w:rPr>
        <w:t>第五章  地震应急与救援</w:t>
      </w:r>
      <w:r>
        <w:rPr>
          <w:rFonts w:hint="eastAsia" w:ascii="楷体" w:hAnsi="楷体" w:eastAsia="楷体" w:cs="楷体"/>
          <w:szCs w:val="32"/>
          <w:lang w:eastAsia="zh-CN"/>
        </w:rPr>
        <w:fldChar w:fldCharType="end"/>
      </w:r>
    </w:p>
    <w:p>
      <w:pPr>
        <w:pStyle w:val="7"/>
        <w:tabs>
          <w:tab w:val="right" w:pos="8844"/>
        </w:tabs>
      </w:pP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_Toc3831 </w:instrText>
      </w:r>
      <w:r>
        <w:rPr>
          <w:rFonts w:hint="eastAsia" w:ascii="楷体" w:hAnsi="楷体" w:eastAsia="楷体" w:cs="楷体"/>
          <w:szCs w:val="32"/>
          <w:lang w:eastAsia="zh-CN"/>
        </w:rPr>
        <w:fldChar w:fldCharType="separate"/>
      </w:r>
      <w:r>
        <w:rPr>
          <w:rFonts w:hint="eastAsia"/>
        </w:rPr>
        <w:t>第六章  震后安置与重建</w:t>
      </w:r>
      <w:r>
        <w:rPr>
          <w:rFonts w:hint="eastAsia" w:ascii="楷体" w:hAnsi="楷体" w:eastAsia="楷体" w:cs="楷体"/>
          <w:szCs w:val="32"/>
          <w:lang w:eastAsia="zh-CN"/>
        </w:rPr>
        <w:fldChar w:fldCharType="end"/>
      </w:r>
    </w:p>
    <w:p>
      <w:pPr>
        <w:pStyle w:val="7"/>
        <w:tabs>
          <w:tab w:val="right" w:pos="8844"/>
        </w:tabs>
      </w:pPr>
      <w:r>
        <w:rPr>
          <w:rFonts w:hint="eastAsia" w:ascii="楷体" w:hAnsi="楷体" w:eastAsia="楷体" w:cs="楷体"/>
          <w:szCs w:val="32"/>
          <w:lang w:eastAsia="zh-CN"/>
        </w:rPr>
        <w:fldChar w:fldCharType="begin"/>
      </w:r>
      <w:r>
        <w:rPr>
          <w:rFonts w:hint="eastAsia" w:ascii="楷体" w:hAnsi="楷体" w:eastAsia="楷体" w:cs="楷体"/>
          <w:szCs w:val="32"/>
          <w:lang w:eastAsia="zh-CN"/>
        </w:rPr>
        <w:instrText xml:space="preserve"> HYPERLINK \l _Toc6941 </w:instrText>
      </w:r>
      <w:r>
        <w:rPr>
          <w:rFonts w:hint="eastAsia" w:ascii="楷体" w:hAnsi="楷体" w:eastAsia="楷体" w:cs="楷体"/>
          <w:szCs w:val="32"/>
          <w:lang w:eastAsia="zh-CN"/>
        </w:rPr>
        <w:fldChar w:fldCharType="separate"/>
      </w:r>
      <w:r>
        <w:rPr>
          <w:rFonts w:hint="eastAsia"/>
        </w:rPr>
        <w:t>第七章  法律责任</w:t>
      </w:r>
      <w:r>
        <w:rPr>
          <w:rFonts w:hint="eastAsia" w:ascii="楷体" w:hAnsi="楷体" w:eastAsia="楷体" w:cs="楷体"/>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1361"/>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为了防御和减轻地震灾害，保护人民生命和财产安全，促进经济社会的可持续发展，根据《中华人民共和国防震减灾法》等有关法律、法规，结合本省实际，制定本条例。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在本省行政区域内从事防震减灾活动，适用本条例。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省、市、县（含县级市、区，下同）人民政府应当加强对防震减灾工作的领导，建立健全防震减灾工作机构，完善防震减灾工作体系，将防震减灾工作纳入本级国民经济和社会发展规划，所需经费列入财政预算。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负责管理地震工作的部门或者机构（以下简称地震工作主管部门）和发展改革、教育、公安、民政、国土资源、住房和城乡建设、交通、卫生以及其他有关部门在本级人民政府领导下，按照职责分工，各负其责，密切配合，共同做好防震减灾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乡镇人民政府、街道办事处应当指定人员，在地震工作主管部门的指导下做好防震减灾的相关工作。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省、市、县人民政府抗震救灾指挥机构负责统一领导、指挥和协调本行政区域的抗震救灾工作。抗震救灾指挥机构的日常工作由地震工作主管部门承担。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人民政府应当组织开展防震减灾知识宣传教育、应急救助知识的普及和地震应急救援演练工作，建立健全防震减灾宣传教育长效机制，把防震减灾知识宣传教育纳入国民素质教育体系及中小学公共安全教育纲要，增强公民的防震减灾意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省、市、县人民政府应当鼓励和支持防震减灾科学技术研究，逐步提高防震减灾科学技术研究经费投入，推广先进的科学研究成果，支持开发和推广符合抗震设防要求的新技术、新工艺、新材料。</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452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防震减灾规划</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地震工作主管部门应当根据上一级防震减灾规划和本行政区域的实际情况，会同有关部门，组织编制本行政区域的防震减灾规划，报本级人民政府批准后组织实施，并报上一级地震工作主管部门备案。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各级防震减灾规划应当纳入国民经济和社会发展总体规划，并做好防震减灾规划与其他各相关规划之间的衔接，统筹资源配置，确保防震减灾任务和措施的落实。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防震减灾规划公布实施后，省、市、县人民政府应当组织地震、发展改革、住房和城乡建设、国土资源等有关部门做好防震减灾规划的实施工作，及时对规划实施情况进行评估。</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714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地震监测和预报</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省人民政府应当加强地震监测预报工作，建立多学科地震监测系统，逐步提高地震监测预报水平。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地震工作主管部门应当根据上级和本级防震减灾规划，按照布局合理、资源共享的原则，制定本级地震监测台网建设规划，报本级人民政府批准后实施。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地震监测台网的建设资金和运行经费列入本级财政预算。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大型水库及江河堤防、油田及石油储备基地、核电站、高速铁路等重大建设工程和建筑设施的建设单位，应当按照国家和省有关规定，建设专用地震监测台网或者强震动监测设施，其建设资金和运行费用由建设单位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建设单位应当将建设专用地震监测台网或者强震动监测设施的情况报省地震工作主管部门备案。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地震工作主管部门应当对专用地震监测台网和强震动监测设施的建设和运行给予技术指导。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专用地震监测台网和强震动监测设施的管理单位，应当做好监测设施的日常维护和管理，将监测信息及时上报省地震工作主管部门。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地震工作主管部门应当会同有关部门，按照国家有关规定设置地震监测设施和地震观测环境保护标志，标明保护范围和要求。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新建、改建、扩建建设工程，应当避免对地震监测设施和地震观测环境造成危害。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建设国家重点工程，确实无法避免对地震监测设施和地震观测环境造成危害的，建设单位应当按照地震工作主管部门的要求，增建抗干扰设施或者新建地震监测设施，其费用由建设单位承担。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市、县地震工作主管部门应当将新建地震监测设施的建设情况，报省地震工作主管部门备案。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任何单位和个人观测到与地震可能有关的异常现象和提出地震预测意见，均可以向地震工作主管部门报告，地震工作主管部门应当进行登记并出具接收凭证，及时组织调查核实。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省、市、县人民政府及其地震工作主管部门应当加强强震动监测设施的建设，建立健全地震烈度速报系统，为抗震救灾指挥工作提供科学依据。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本省行政区域内的预报意见，由省人民政府按照国家规定的程序发布。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新闻媒体报道与地震预报有关的信息，应当以国务院或者省人民政府发布的地震预报为准。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任何单位和个人不得制造、传播地震谣言。因地震谣言影响社会正常秩序的，由县以上人民政府或者由其授权地震工作主管部门迅速采取措施予以澄清，其他有关部门和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新闻媒体应当予以配合。</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1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地震灾害预防</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抗震设防重大工程和可能发生严重次生灾害的建设工程，应当在项目选址、可行性研究前进行地震安全性评价。地震安全性评价报告，除根据有关规定由国务院地震工作主管部门审定的外，由省地震工作主管部门负责审定，并确定抗震设防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前款规定以外的一般建设工程，应当按照地震烈度区划图或者地震动参数区划图确定抗震设防要求。建设单位应当在领取建设施工许可证后10日内，将抗震设防要求的采用情况报当地地震工作主管部门备案。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学校、幼儿园、医院、大型文体场馆、大型商业设施等人员密集场所的建设工程，应当按照高于当地房屋建筑的抗震设防要求进行设计和施工，增强抗震设防能力。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项目审批部门应当将抗震设防要求纳入建设项目管理内容。对可行性研究报告或者项目申请报告中未包含抗震设防要求的，不予批准或者核准。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住房和城乡建设行政主管部门和铁路、交通、民航、水利、电力等其他专业工程的主管部门应当将抗震设防要求纳入工程初步设计或者设计文件的审查内容。建设工程的抗震设计未经审查或者未通过审查的，不予发放施工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已经建成的下列建设工程，未采取抗震设防措施或者抗震设防措施未达到抗震设防要求的，应当按照国家有关规定定期进行抗震性能鉴定，并限期采取必要的抗震加固措施：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（一）重大建设工程和可能发生严重次生灾害的建设工程；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（二）交通、通信、供水、排水、供电、供气、输油等工程；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（三）具有重大历史、科学、艺术价值或者重要纪念意义的建设工程；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（四）学校、幼儿园、医院、大型文体场馆、大型商业设施等人员密集场所的建设工程；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（五）地震重点监视防御区内的建设工程。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省、市、县人民政府应当组织地震、住房和城乡建设、卫生、教育等有关部门，对学校、幼儿园、医院、大型文体场馆、大型商业设施等人员密集场所进行抗震性能普查。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省、市、县人民政府应当加强农村地区建设工程的抗震设防管理，结合新农村建设，将农村村民住宅和乡村公共设施抗震设防要求纳入建设工程抗震设防要求的管理范围，制定推进农村民居地震安全工程的扶持政策，引导农民在建房时采取科学的抗震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建设单位应当在建筑物使用说明书中明确建筑物所采用的抗震设防要求，注明建筑抗震构件、隔震装置、减震部件等抗震设施。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任何单位和个人不得损坏建筑物的抗震设施。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市人民政府和地震重点监视防御区的县人民政府应当组织开展地震小区划、活动断层探测和地震危险性分析、震害预测等防震减灾基础性研究工作，为城乡土地利用总体规划、工程选址、防震减灾规划编制提供科学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省、市、县人民政府应当组织住房和城乡建设、地震、教育等有关部门，利用城市广场、体育场馆、绿地、公园、学校操场等公共设施，因地制宜搞好应急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避难场所建设，统筹安排所需的交通、供水、供电、环保、物资储备等设备设施。应急避难场所应当设置明显的指示标识，并向社会公布。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学校、幼儿园、医院、大型文体场馆、大型商业设施等人员密集场所应当设置地震应急疏散通道，配备必要的救生避险设施。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县级人民政府有关部门和乡镇人民政府、街道办事处、居民委员会、村民委员会应当定期组织开展地震应急知识的宣传普及活动和地震应急救援演练，提倡公民自备应急救护器材，提高公民在地震灾害中自救互救的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机关、团体、企业事业单位应当按照本级人民政府的要求，对本单位人员进行地震应急知识宣传教育，排查和消除地震可能引发的安全隐患，定期进行地震应急救援演练。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学校应当进行地震应急知识教育，定期组织学生开展地震紧急疏散演练活动，提高学生的安全避险和自救互救能力。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省、市、县人民政府及其地震、教育、科技等有关部门应当开展地震安全社区、防震减灾科普宣传示范学校和科普教育基地建设，制定相应的考核验收标准并组织实施。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省、市、县人民政府及其地震工作主管部门应当研究制定支持群测群防工作的各项保障措施，建立稳定的经费渠道，鼓励、支持和引导社会组织和个人开展地震群测群防活动，充分发挥群测群防在地震短期预报、临震预报、灾情信息报告和普及地震知识中的作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地震工作主管部门应当对防震减灾群测群防网络建设和管理给予指导。</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407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地震应急与救援</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地震工作主管部门应当会同有关部门，根据上一级人民政府地震应急预案，编制本级人民政府的地震应急预案，经本级人民政府批准后，报上一级人民政府和地震工作主管部门备案。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交通、铁路、水利、电力、通信等城市基础设施和学校、幼儿园、医院、大型文体场馆、大型商业设施等人员密集场所的经营、管理单位，以及可能发生严重次生灾害的核电站、矿山、危险化学品的生产、经营、储存单位，应当制定地震应急预案，并报当地地震工作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制定地震应急预案的部门和单位应当定期组织地震应急演练，开展预案和应急演练的评估，并根据实际情况及时修订地震应急预案。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省、市、县人民政府应当加强以公安消防队伍及其他优势专业应急救援队伍为依托的综合应急救援队伍建设，提高地震、医疗、交通运输、矿山、危险化学品等相关行业专业应急救援队伍抗震设防救灾能力。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省、市、县人民政府应当为地震灾害应急救援队伍的建设提供必要的保障。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政府鼓励企业、事业单位、社会团体组建民间地震灾害救援志愿者队伍，参与应急救援。地震工作主管部门应当对志愿者队伍的应急救援培训和演练提供技术指导。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省、市、县人民政府应当完善地震应急物资储备保障体系，健全储备、调拨、配送、征用和监管体制，保障地震应急救援装备和应急物资供应。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地震预报意见发布后，省人民政府根据预报的震情，可以宣布有关区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域进入临震应急期；当地人民政府应当按照地震应急预案，组织有关部门做好震情监测、重点单位的抗震防护、居民避震疏散、应急物资调配、地震应急知识和避险技能的宣传等应急防范和抗震救灾准备工作。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地震灾害发生后，省、市、县人民政府应当根据地震灾害和应急响应级别，启动地震应急预案，开展抗震救灾工作。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特别重大地震灾害发生后，按照国务院抗震救灾指挥机构统一部署，开展抗震救灾工作。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地震灾害发生后，各级救援队伍应当立即进入紧急待命状态，按照抗震救灾指挥机构的统一部署，赶赴地震灾区实施救援。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地震灾害发生后，地震灾区人民政府应当及时向上一级人民政府报告地震震情和灾情信息，同时抄送上一级地震、民政、卫生等部门。必要时可以越级上报，不得迟报、谎报、瞒报。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地震震情、灾情、抗震救灾等信息和海啸等次生灾害的信息实行归口管理，由抗震救灾指挥机构统一、准确、及时地向社会发布。</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383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震后安置与重建</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地震灾区人民政府应当做好受灾群众的过渡性安置工作，组织受灾群众和企业开展生产自救。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过渡性安置点所在地的县人民政府应当组织有关部门对次生灾害、饮用水水质、食品卫生、疫情等加强监测，开展流行病学调查，整治环境卫生，避免对土壤、水环境等造成污染。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过渡性安置点所在地的公安机关应当加强治安管理，依法打击各种违法犯罪行为，维护社会秩序。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破坏性地震发生后，省人民政府应当及时组织地震、财政、发展改革、住房和城乡建设、民政等有关部门对地震灾害损失进行调查评估。地震灾害评估结果按有关规定评审后，报省人民政府和国务院地震工作主管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特别重大地震灾害发生后，省人民政府应当配合国务院有关部门，编制地震灾后恢复重建规划；重大、较大、一般地震灾害的灾后恢复重建规划，由省发展改革部门会同有关部门及地震灾区的市、县人民政府根据国家有关规定编制，报省人民政府批准后实施。</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694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法律责任</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违反本条例规定，有危害地震观测环境、破坏地震监测设施、未依法进行地震安全性评价、未按照抗震设防要求进行设计和施工、未依法履行职责以及制造、传播地震谣言等行为的，依照《中华人民共和国防震减灾法》等有关法律、法规的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第八章  附    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本条例自2011年6月1日起施行。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9A1A8A"/>
    <w:rsid w:val="56A83042"/>
    <w:rsid w:val="56C277FA"/>
    <w:rsid w:val="56E7158A"/>
    <w:rsid w:val="57EA54B3"/>
    <w:rsid w:val="585602DF"/>
    <w:rsid w:val="590E0F79"/>
    <w:rsid w:val="59643F7B"/>
    <w:rsid w:val="59836D8C"/>
    <w:rsid w:val="5A4370C0"/>
    <w:rsid w:val="5A8627B5"/>
    <w:rsid w:val="5AFE29E7"/>
    <w:rsid w:val="5B126E53"/>
    <w:rsid w:val="5CCA70DF"/>
    <w:rsid w:val="5D0A6845"/>
    <w:rsid w:val="5D582347"/>
    <w:rsid w:val="5D7A4DBF"/>
    <w:rsid w:val="5D8666C1"/>
    <w:rsid w:val="5DC72E77"/>
    <w:rsid w:val="5E1E3B4D"/>
    <w:rsid w:val="5E556905"/>
    <w:rsid w:val="5E6C00EB"/>
    <w:rsid w:val="5E790AB1"/>
    <w:rsid w:val="5EA5155D"/>
    <w:rsid w:val="5FC01C05"/>
    <w:rsid w:val="60212DE9"/>
    <w:rsid w:val="6033420B"/>
    <w:rsid w:val="61AD5A36"/>
    <w:rsid w:val="625C6084"/>
    <w:rsid w:val="626C54D9"/>
    <w:rsid w:val="62BC1813"/>
    <w:rsid w:val="62F95B18"/>
    <w:rsid w:val="637F26AF"/>
    <w:rsid w:val="64A019F5"/>
    <w:rsid w:val="652671F7"/>
    <w:rsid w:val="656D7F72"/>
    <w:rsid w:val="65A52084"/>
    <w:rsid w:val="66126667"/>
    <w:rsid w:val="663B59C0"/>
    <w:rsid w:val="667230FF"/>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