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/>
          <w:b w:val="0"/>
          <w:bCs w:val="0"/>
          <w:sz w:val="32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/>
          <w:b w:val="0"/>
          <w:bCs w:val="0"/>
          <w:sz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4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lang w:eastAsia="zh-CN"/>
        </w:rPr>
        <w:t>连山壮族瑶族自治县乡道建设和管理条例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lang w:val="en-US" w:eastAsia="zh-CN"/>
        </w:rPr>
        <w:t>2001年2月25日连山壮族瑶族自治县第七届人民代表大会第五次会议通过  2001年7月27日广东省第九届人民代表大会常务委员会第二十七次会议批准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第一条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为了加强乡道的建设和管理，促进乡道发展，适应经济发展和人民群众生产、生活的需要，根据《中华人民共和国公路法》的规定，结合自治县实际，制定本条例。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第二条</w:t>
      </w:r>
      <w:r>
        <w:rPr>
          <w:rFonts w:hint="eastAsia" w:ascii="宋体" w:hAnsi="宋体" w:eastAsia="宋体"/>
          <w:b w:val="0"/>
          <w:bCs w:val="0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本条例所称乡道是指自治县辖区内省道、县道以外的地方公路。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>乡道的规划、建设、养护和管理，适用本条例。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第三条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乡道的建设和养护必须遵循“民需民建，建养并重；民建公助，多方筹资；民建民养，保障畅通”的原则。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第四条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自治县鼓励单位、组织和个人捐赠款物或者以其他形式支持乡道的建设和养护。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第五条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乡道及其附属设施受法律保护，任何单位和个人不得侵占或者破坏。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第六条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本条例由自治县交通行政主管部门组织实施和监督检查。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>国土、建设、水利、供电、通讯等部门依照各自职责，配合做好乡道的建设和养护工作。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32"/>
          <w:lang w:val="en-US" w:eastAsia="zh-CN"/>
        </w:rPr>
        <w:t>第七条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镇人民政府负责本辖区乡道的建设和养护工作。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>乡道建设和养护所需资金，采取以镇人民政府、村民委员会和自然村自筹为主，上级补助为辅的办法解决。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>乡道建设应当纳入镇国民经济和社会发展计划，政府投入的建设和养护资金列入镇财政预算。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第八条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镇人民政府应当根据国民经济和社会发展情况，遵循保护耕地、节约用地、保护环境的原则编制乡道建设规划，报自治县人民政府批准，并且报市交通行政主管部门备案。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第九条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自治县交通行政主管部门负责新建、改（扩）建乡道的勘测、设计和施工技术指导，并且组织验收。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第十条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新建和改（扩）建的乡道应当符合乡道工程技术等级的要求；对原有的不符合技术等级要求的乡道，应当按照技术等级要求逐步进行改造。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第十一条</w:t>
      </w:r>
      <w:r>
        <w:rPr>
          <w:rFonts w:hint="eastAsia" w:ascii="宋体" w:hAnsi="宋体" w:eastAsia="宋体"/>
          <w:b w:val="0"/>
          <w:bCs w:val="0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乡道建设的征地、拆迁由镇人民政府按照有关法律规定办理。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第十二条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乡道的养护应当符合乡道工程的技术等级要求和质量标准。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>自治县交通行政主管部门与镇人民政府，镇人民政府与村民委员会应当签订乡道养护合同，采取个人承包或者其他形式，实行专人专段养护，保持乡道完好和畅通。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第十三条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镇人民政府可以根据乡道的实际情况，组建乡道养护专业队伍，逐步实行专职养护。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第十四条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村民委员会可以根据本村乡道建设和养护的需要，按照国家有关规定，组织村民和运输机动车辆参加义务献勤。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第十五条</w:t>
      </w:r>
      <w:r>
        <w:rPr>
          <w:rFonts w:hint="eastAsia" w:ascii="宋体" w:hAnsi="宋体" w:eastAsia="宋体"/>
          <w:b w:val="0"/>
          <w:bCs w:val="0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未经自治县交通行政主管部门批准，任何单位和个人不得在乡道两侧边沟（截水沟、坡脚护坡道）外缘起五米以内的建筑控制区架（埋）设管线、电缆等设施。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 xml:space="preserve">第十六条 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为企业和单位提供交通运输服务的公路的建设和养护，由相关企业和单位参照本条例的有关规定执行。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第十七条</w:t>
      </w:r>
      <w:r>
        <w:rPr>
          <w:rFonts w:hint="eastAsia" w:ascii="仿宋_GB2312" w:hAnsi="仿宋_GB2312" w:eastAsia="仿宋_GB2312"/>
          <w:b w:val="0"/>
          <w:bCs w:val="0"/>
          <w:sz w:val="32"/>
          <w:lang w:val="en-US" w:eastAsia="zh-CN"/>
        </w:rPr>
        <w:t xml:space="preserve">  本条例自2002年1月1日起施行。</w:t>
      </w:r>
    </w:p>
    <w:sectPr>
      <w:headerReference r:id="rId3" w:type="default"/>
      <w:footerReference r:id="rId4" w:type="default"/>
      <w:pgSz w:w="11906" w:h="16838"/>
      <w:pgMar w:top="2041" w:right="1531" w:bottom="2041" w:left="1531" w:header="850" w:footer="1644" w:gutter="0"/>
      <w:paperSrc/>
      <w:pgNumType w:fmt="decimal"/>
      <w:cols w:space="720" w:num="1"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-37465</wp:posOffset>
              </wp:positionV>
              <wp:extent cx="701675" cy="230505"/>
              <wp:effectExtent l="0" t="0" r="0" b="0"/>
              <wp:wrapNone/>
              <wp:docPr id="1" name="文本框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675" cy="2305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widowControl w:val="0"/>
                            <w:pBdr>
                              <w:between w:val="none" w:color="auto" w:sz="50" w:space="0"/>
                            </w:pBdr>
                            <w:snapToGrid w:val="0"/>
                            <w:spacing w:after="0" w:afterLines="0"/>
                            <w:jc w:val="left"/>
                            <w:rPr>
                              <w:rFonts w:hint="eastAsia" w:ascii="宋体" w:hAnsi="宋体" w:eastAsia="宋体"/>
                              <w:sz w:val="28"/>
                              <w:u w:val="none" w:color="auto"/>
                            </w:rPr>
                          </w:pPr>
                          <w:r>
                            <w:rPr>
                              <w:rStyle w:val="5"/>
                              <w:rFonts w:hint="eastAsia" w:ascii="宋体" w:hAnsi="宋体"/>
                              <w:sz w:val="28"/>
                              <w:u w:val="none" w:color="auto"/>
                              <w:lang w:val="en-US" w:eastAsia="zh-CN"/>
                            </w:rPr>
                            <w:t xml:space="preserve">   -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u w:val="none" w:color="auto"/>
                            </w:rPr>
                            <w:fldChar w:fldCharType="begin"/>
                          </w:r>
                          <w:r>
                            <w:rPr>
                              <w:rStyle w:val="5"/>
                              <w:rFonts w:hint="eastAsia" w:ascii="宋体" w:hAnsi="宋体" w:eastAsia="宋体"/>
                              <w:sz w:val="28"/>
                              <w:u w:val="none" w:color="auto"/>
                            </w:rPr>
                            <w:instrText xml:space="preserve"> PAGE  </w:instrTex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u w:val="none" w:color="auto"/>
                            </w:rPr>
                            <w:fldChar w:fldCharType="separate"/>
                          </w:r>
                          <w:r>
                            <w:rPr>
                              <w:rStyle w:val="5"/>
                              <w:rFonts w:hint="eastAsia" w:ascii="宋体" w:hAnsi="宋体" w:eastAsia="宋体"/>
                              <w:sz w:val="28"/>
                              <w:u w:val="none" w:color="auto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u w:val="none" w:color="auto"/>
                            </w:rPr>
                            <w:fldChar w:fldCharType="end"/>
                          </w:r>
                          <w:r>
                            <w:rPr>
                              <w:rStyle w:val="5"/>
                              <w:rFonts w:hint="eastAsia" w:ascii="宋体" w:hAnsi="宋体"/>
                              <w:sz w:val="28"/>
                              <w:u w:val="none" w:color="auto"/>
                              <w:lang w:val="en-US" w:eastAsia="zh-CN"/>
                            </w:rPr>
                            <w:t>-</w:t>
                          </w:r>
                        </w:p>
                      </w:txbxContent>
                    </wps:txbx>
                    <wps:bodyPr vert="horz" wrap="square" lIns="0" tIns="0" rIns="0" bIns="0" upright="0"/>
                  </wps:wsp>
                </a:graphicData>
              </a:graphic>
            </wp:anchor>
          </w:drawing>
        </mc:Choice>
        <mc:Fallback>
          <w:pict>
            <v:shape id="文本框1" o:spid="_x0000_s1026" o:spt="202" type="#_x0000_t202" style="position:absolute;left:0pt;margin-top:-2.95pt;height:18.15pt;width:55.25pt;mso-position-horizontal:outside;mso-position-horizontal-relative:margin;z-index:251658240;mso-width-relative:page;mso-height-relative:page;" filled="f" stroked="f" coordsize="21600,21600" o:gfxdata="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q5DqF1QAAAAYBAAAPAAAAAAAAAAEAIAAAACIAAABkcnMvZG93bnJldi54bWxQSwECFAAUAAAA&#10;CACHTuJAuE8uzLgBAABFAwAADgAAAAAAAAABACAAAAAk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widowControl w:val="0"/>
                      <w:pBdr>
                        <w:between w:val="none" w:color="auto" w:sz="50" w:space="0"/>
                      </w:pBdr>
                      <w:snapToGrid w:val="0"/>
                      <w:spacing w:after="0" w:afterLines="0"/>
                      <w:jc w:val="left"/>
                      <w:rPr>
                        <w:rFonts w:hint="eastAsia" w:ascii="宋体" w:hAnsi="宋体" w:eastAsia="宋体"/>
                        <w:sz w:val="28"/>
                        <w:u w:val="none" w:color="auto"/>
                      </w:rPr>
                    </w:pPr>
                    <w:r>
                      <w:rPr>
                        <w:rStyle w:val="5"/>
                        <w:rFonts w:hint="eastAsia" w:ascii="宋体" w:hAnsi="宋体"/>
                        <w:sz w:val="28"/>
                        <w:u w:val="none" w:color="auto"/>
                        <w:lang w:val="en-US" w:eastAsia="zh-CN"/>
                      </w:rPr>
                      <w:t xml:space="preserve">   -</w:t>
                    </w:r>
                    <w:r>
                      <w:rPr>
                        <w:rFonts w:hint="eastAsia" w:ascii="宋体" w:hAnsi="宋体" w:eastAsia="宋体"/>
                        <w:sz w:val="28"/>
                        <w:u w:val="none" w:color="auto"/>
                      </w:rPr>
                      <w:fldChar w:fldCharType="begin"/>
                    </w:r>
                    <w:r>
                      <w:rPr>
                        <w:rStyle w:val="5"/>
                        <w:rFonts w:hint="eastAsia" w:ascii="宋体" w:hAnsi="宋体" w:eastAsia="宋体"/>
                        <w:sz w:val="28"/>
                        <w:u w:val="none" w:color="auto"/>
                      </w:rPr>
                      <w:instrText xml:space="preserve"> PAGE  </w:instrText>
                    </w:r>
                    <w:r>
                      <w:rPr>
                        <w:rFonts w:hint="eastAsia" w:ascii="宋体" w:hAnsi="宋体" w:eastAsia="宋体"/>
                        <w:sz w:val="28"/>
                        <w:u w:val="none" w:color="auto"/>
                      </w:rPr>
                      <w:fldChar w:fldCharType="separate"/>
                    </w:r>
                    <w:r>
                      <w:rPr>
                        <w:rStyle w:val="5"/>
                        <w:rFonts w:hint="eastAsia" w:ascii="宋体" w:hAnsi="宋体" w:eastAsia="宋体"/>
                        <w:sz w:val="28"/>
                        <w:u w:val="none" w:color="auto"/>
                      </w:rPr>
                      <w:t>1</w:t>
                    </w:r>
                    <w:r>
                      <w:rPr>
                        <w:rFonts w:hint="eastAsia" w:ascii="宋体" w:hAnsi="宋体" w:eastAsia="宋体"/>
                        <w:sz w:val="28"/>
                        <w:u w:val="none" w:color="auto"/>
                      </w:rPr>
                      <w:fldChar w:fldCharType="end"/>
                    </w:r>
                    <w:r>
                      <w:rPr>
                        <w:rStyle w:val="5"/>
                        <w:rFonts w:hint="eastAsia" w:ascii="宋体" w:hAnsi="宋体"/>
                        <w:sz w:val="28"/>
                        <w:u w:val="none" w:color="auto"/>
                        <w:lang w:val="en-US" w:eastAsia="zh-CN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58"/>
  <w:drawingGridVerticalSpacing w:val="290"/>
  <w:displayHorizontalDrawingGridEvery w:val="2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6C6B03"/>
    <w:rsid w:val="2B123193"/>
    <w:rsid w:val="4E9837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32"/>
      <w:lang w:val="en-US" w:eastAsia="zh-CN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2008-12-26T08:47:00Z</dcterms:created>
  <dc:creator>Administrator</dc:creator>
  <cp:lastModifiedBy>Administrator</cp:lastModifiedBy>
  <cp:lastPrinted>2017-01-06T09:36:11Z</cp:lastPrinted>
  <dcterms:modified xsi:type="dcterms:W3CDTF">2017-01-24T15:10:13Z</dcterms:modified>
  <dc:title>连山壮族瑶族自治县乡道建设和管理条例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