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591A2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迪庆藏族自治州乡村清洁条例</w:t>
      </w:r>
    </w:p>
    <w:p w14:paraId="42380C6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（2024年8月15日迪庆藏族自治州第十四届人民代表大会常务委员会第二十二次会议通过　2024年9月26日云南省第十四届人民代表大会常务委员会第十二次会议批准）</w:t>
      </w:r>
    </w:p>
    <w:p w14:paraId="32E05DE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为了保护和改善乡村人居环境，建设美丽宜居乡村，促进乡村全面振兴，根据有关法律、法规，结合迪庆藏族自治州（以下简称自治州）实际，制定本条例。</w:t>
      </w:r>
    </w:p>
    <w:p w14:paraId="37663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自治州行政区域内的乡村清洁，适用本条例。</w:t>
      </w:r>
    </w:p>
    <w:p w14:paraId="7BED1FE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本条例所称乡村清洁是指城市建成区以外的乡村垃圾、污水、废弃物等的收集处理和村容村貌的日常管理。</w:t>
      </w:r>
    </w:p>
    <w:p w14:paraId="5B2F52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乡村清洁遵循政府主导、基层自治、全民参与、多元投入、因地制宜、统筹推进的原则。</w:t>
      </w:r>
    </w:p>
    <w:p w14:paraId="3651E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自治州、县（市）人民政府应当加强对乡村清洁工作的领导，将乡村清洁工作纳入国民经济和社会发展规划，所需经费列入同级财政预算，加强基础设施建设、运营和管理，建立健全考核评价机制。</w:t>
      </w:r>
    </w:p>
    <w:p w14:paraId="32CBA2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自治州、县（市）农业农村行政主管部门负责乡村清洁工作的统筹协调、督促指导和监督检查等工作。</w:t>
      </w:r>
    </w:p>
    <w:p w14:paraId="7CA8BB2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发展改革、工业和信息化、教育体育、科技、民政、财政、人力资源社会保障、自然资源、生态环境、住房城乡建设、交通运输、水行政、文化和旅游、卫生健康、市场监管、林草等有关行政主管部门，按照各自职责做好乡村清洁工作。</w:t>
      </w:r>
    </w:p>
    <w:p w14:paraId="17AAD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乡（镇）人民政府负责组织实施本行政区域内的乡村清洁工作，主要职责是：</w:t>
      </w:r>
    </w:p>
    <w:p w14:paraId="6472B6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（一）制定乡村清洁工作方案和措施；</w:t>
      </w:r>
    </w:p>
    <w:p w14:paraId="3C6BC5E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（二）组织或者协助实施垃圾、污水处理和乡村卫生公厕等乡村清洁基础设施建设，并进行日常维护和管理；</w:t>
      </w:r>
    </w:p>
    <w:p w14:paraId="27132DC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（三）组织开展垃圾清扫、分类收集、转运和处理，分区分类推进乡村污水治理；</w:t>
      </w:r>
    </w:p>
    <w:p w14:paraId="533C82A4">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（四）建立完善乡村清洁经费收支管理制度，对乡村清洁经费收支情况进行监督；</w:t>
      </w:r>
    </w:p>
    <w:p w14:paraId="45681C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（五）建立落实乡村清洁巡查和举报等制度，督促、指导村（居）民委员会和有关单位履行乡村清洁工作职责；</w:t>
      </w:r>
    </w:p>
    <w:p w14:paraId="2541F517">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（六）监督管理和检查评估乡村清洁工作；</w:t>
      </w:r>
    </w:p>
    <w:p w14:paraId="5FB8C83B">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（七）组织开展乡村卫生整治和清洁公益活动，维护公共场所环境卫生；</w:t>
      </w:r>
    </w:p>
    <w:p w14:paraId="43E56880">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（八）其他有关乡村清洁的事项。</w:t>
      </w:r>
    </w:p>
    <w:p w14:paraId="2278D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居）民委员会、村（居）民小组可以通过村规民约（居民公约）约定乡村清洁内容，制定乡村清洁管理制度。鼓励通过“一事一议”等方式，确定保洁方式、保洁人员聘用、清洁费用收支等事项。宣传引导文明健康、绿色环保生活方式。</w:t>
      </w:r>
    </w:p>
    <w:p w14:paraId="74749C64">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村（居）民委员会、村（居）民小组收取的清洁费应当专款专用，定期公布清洁费收支使用情况，接受群众监督。</w:t>
      </w:r>
    </w:p>
    <w:p w14:paraId="11AAE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村（居）民委员会、村（居）民小组负责本区域内的清洁工作，组织本区域村（居）民开展村道路、广场、沟渠、河流、公厕等公共区域的环境整治和净化、绿化、美化、亮化工作。</w:t>
      </w:r>
    </w:p>
    <w:p w14:paraId="440D78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村（居）民负责其住宅庭院、房屋周边、入户道路和承包管理的田地、林地、池塘等区域的清洁工作，规范处置垃圾、污水、农业生产废弃物等，积极参加乡村清洁公益活动，养成文明卫生习惯，不乱丢乱扔垃圾，保持居住环境干净、整洁、有序。</w:t>
      </w:r>
    </w:p>
    <w:p w14:paraId="3ACC83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单位、企业、其他组织和个体经营者负责其管理、使用区域内的清洁工作。</w:t>
      </w:r>
    </w:p>
    <w:p w14:paraId="4A75ECBA">
      <w:pPr>
        <w:ind w:firstLine="632" w:firstLineChars="200"/>
        <w:rPr>
          <w:rFonts w:ascii="Times New Roman" w:hAnsi="Times New Roman" w:cs="仿宋_GB2312"/>
          <w:sz w:val="32"/>
          <w:szCs w:val="32"/>
        </w:rPr>
      </w:pPr>
      <w:r>
        <w:rPr>
          <w:rFonts w:hint="eastAsia" w:ascii="Times New Roman" w:hAnsi="Times New Roman" w:cs="仿宋_GB2312"/>
          <w:sz w:val="32"/>
          <w:szCs w:val="32"/>
        </w:rPr>
        <w:t>节庆、文体、喜庆和丧葬等活动产生的垃圾，由活动组织者负责及时清扫保洁。</w:t>
      </w:r>
    </w:p>
    <w:p w14:paraId="3DEA9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市）、乡（镇）人民政府应当建立政府投入、村（组）集体经济组织支持、村民自筹、受益主体付费、社会资金参与的乡村清洁经费多元投入机制。筹集、收取的保洁、生活垃圾和污水处理等费用专项用于乡村清洁工作，每年定期公布收支使用情况，接受群众监督。</w:t>
      </w:r>
    </w:p>
    <w:p w14:paraId="498D6DE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自治州、县（市）人民政府鼓励支持社会资本参与乡村垃圾、废弃物、污水等处理设施的建设和运营管理。</w:t>
      </w:r>
    </w:p>
    <w:p w14:paraId="1F154E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县（市）、乡（镇）人民政府应当积极推行生活垃圾源头减量、分类投放、分类收集、集中转运处置，实现减量化、无害化处理和资源化利用。</w:t>
      </w:r>
    </w:p>
    <w:p w14:paraId="6AE15FD5">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不具备集中收集、转运条件的，可以选择适当方式对生活垃圾进行无害化处理。</w:t>
      </w:r>
    </w:p>
    <w:p w14:paraId="14C81757">
      <w:pPr>
        <w:ind w:firstLine="632" w:firstLineChars="200"/>
        <w:rPr>
          <w:rFonts w:ascii="Times New Roman" w:hAnsi="Times New Roman" w:cs="仿宋_GB2312"/>
          <w:sz w:val="32"/>
          <w:szCs w:val="32"/>
        </w:rPr>
      </w:pPr>
      <w:r>
        <w:rPr>
          <w:rFonts w:hint="eastAsia" w:ascii="Times New Roman" w:hAnsi="Times New Roman" w:cs="仿宋_GB2312"/>
          <w:sz w:val="32"/>
          <w:szCs w:val="32"/>
        </w:rPr>
        <w:t>收集、贮存、运输、利用、处置垃圾的单位和个人，应当采取防扬散、防流失和防渗漏措施，防止二次污染。</w:t>
      </w:r>
    </w:p>
    <w:p w14:paraId="08714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县（市）人民政府应当因地制宜，科学划定建筑垃圾收纳场所或者建筑垃圾临时堆放点，加强建筑垃圾处置设施、场所建设，规范和监督建筑垃圾处置。</w:t>
      </w:r>
    </w:p>
    <w:p w14:paraId="67DB68A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鼓励和支持建筑垃圾资源化利用，不具备资源化利用条件的，应当投放至划定的建筑垃圾收纳场所或者建筑垃圾临时堆放点。</w:t>
      </w:r>
    </w:p>
    <w:p w14:paraId="644ED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县（市）、乡（镇）人民政府应当结合当地实际，因地制宜，推进生产生活污水资源化利用，集中或者分散处理生产生活污水，防止任意排放，已经建成排污管网的，应当将污水接入排污管网。</w:t>
      </w:r>
    </w:p>
    <w:p w14:paraId="312C0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从事餐饮服务、住宿服务、车辆清洗维修、废旧物品收购、加工等行业的经营者应当将生产生活污水进行预处理，具备接入排污管网条件的，应当接入排污管网处理；不具备接入排污管网条件的，应当建设分散处理设施，确保污水达标排放。</w:t>
      </w:r>
    </w:p>
    <w:p w14:paraId="74A53AF5">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餐饮业经营者、集体餐饮和食品加工单位应当设置符合标准的收集容器，单独收集、存放、处理餐厨废弃物。</w:t>
      </w:r>
    </w:p>
    <w:p w14:paraId="47B181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农村畜禽养殖实行人畜分离，资源化利用畜禽粪便和养殖废弃物。畜禽养殖场、屠宰场、畜禽交易场所等应当按照有关规定，配套建设畜禽粪便、废水的综合利用或者无害化处理设施，保证污水达标排放。</w:t>
      </w:r>
    </w:p>
    <w:p w14:paraId="52814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鼓励和支持农业生产经营者使用高效、低毒、低残留农药和可降解、易回收农用薄膜，推广生态农业、绿色植保等农业清洁生产技术。</w:t>
      </w:r>
    </w:p>
    <w:p w14:paraId="22E891E7">
      <w:pPr>
        <w:ind w:firstLine="632" w:firstLineChars="200"/>
        <w:rPr>
          <w:rFonts w:ascii="Times New Roman" w:hAnsi="Times New Roman" w:cs="仿宋_GB2312"/>
          <w:sz w:val="32"/>
          <w:szCs w:val="32"/>
        </w:rPr>
      </w:pPr>
      <w:r>
        <w:rPr>
          <w:rFonts w:hint="eastAsia" w:ascii="Times New Roman" w:hAnsi="Times New Roman" w:cs="仿宋_GB2312"/>
          <w:sz w:val="32"/>
          <w:szCs w:val="32"/>
        </w:rPr>
        <w:t>农药、化肥等农用化学物品的包装物以及农用薄膜、育苗器具等农业废弃物应当安全及时处置。</w:t>
      </w:r>
    </w:p>
    <w:p w14:paraId="7E0DD6E4">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推广和采取多种科技措施，支持农作物秸秆还田，推进秸秆肥料化、饲料化、燃料化、基料化和原料化利用，提高农作物秸秆综合利用水平。</w:t>
      </w:r>
    </w:p>
    <w:p w14:paraId="1BA33E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县（市）、乡（镇）人民政府应当合理设置乡村卫生公厕，加强使用维护管理，积极推进农村卫生户厕改造，提高农村卫生户厕普及率。</w:t>
      </w:r>
    </w:p>
    <w:p w14:paraId="346FE772">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村（居）民在新建、改建、扩建住房时，应当配套建设农村卫生户厕及污水收集处理设施。</w:t>
      </w:r>
    </w:p>
    <w:p w14:paraId="2C213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乡村集贸市场、公共活动场所、旅游景点、商店、餐馆、酒店等应当定期开展环境卫生保洁消杀工作，落实卫生防疫和灭杀老鼠、蟑螂、苍蝇、蚊子等病媒生物防治措施。</w:t>
      </w:r>
    </w:p>
    <w:p w14:paraId="6A9EC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县（市）、乡（镇）人民政府应当坚持规划先行，优化乡村发展布局，分类有序推进村庄建设，优化村庄生产生活生态空间，加强对村容村貌的日常监督和管理。</w:t>
      </w:r>
    </w:p>
    <w:p w14:paraId="0B1DC5C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鼓励和支持农村住房体现地域、民族和乡土特色，引导农民建设功能现代、结构安全、成本经济、绿色环保、与乡村环境相协调的宜居住房；强化村庄、庭院环境卫生整治，建设村庄小微公园和公共绿地。</w:t>
      </w:r>
    </w:p>
    <w:p w14:paraId="0DC03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各级人民政府应当组织开展多种形式的乡村清洁宣传教育，增强公民环境保护意识，引导公民参与乡村清洁活动。</w:t>
      </w:r>
    </w:p>
    <w:p w14:paraId="2BFC7F14">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教育行政主管部门、学校应当对学生进行环境保护知识宣传教育，增强学生参与乡村清洁活动的意识。</w:t>
      </w:r>
    </w:p>
    <w:p w14:paraId="32279F7B">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报刊、广播、电视、网络等媒体应当加强环境卫生的宣传教育和舆论引导，增强公民自觉维护环境卫生意识。</w:t>
      </w:r>
    </w:p>
    <w:p w14:paraId="56928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单位或者个人应当自觉维护乡村清洁，禁止下列行为：</w:t>
      </w:r>
    </w:p>
    <w:p w14:paraId="1C3C14AF">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（一）随意堆放、倾倒、抛撒生活垃圾；</w:t>
      </w:r>
    </w:p>
    <w:p w14:paraId="02967958">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（二）随意弃置农药包装物、化肥包装物、农业薄膜、育苗器具等农业废弃物；</w:t>
      </w:r>
    </w:p>
    <w:p w14:paraId="73F39928">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（三）擅自堆放、倾倒、抛撒建筑垃圾；</w:t>
      </w:r>
    </w:p>
    <w:p w14:paraId="5F16BAE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（四）丢弃动物尸体和病害动物产品；</w:t>
      </w:r>
    </w:p>
    <w:p w14:paraId="35D471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（五）向沟渠、河流、池塘、水库、湖泊等直排生活污水、粪便；</w:t>
      </w:r>
    </w:p>
    <w:p w14:paraId="2C95B855">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（六）擅自关闭公厕、垃圾处理和污水处理等乡村清洁设施；</w:t>
      </w:r>
    </w:p>
    <w:p w14:paraId="10A0872C">
      <w:pPr>
        <w:ind w:firstLine="632" w:firstLineChars="200"/>
        <w:rPr>
          <w:rFonts w:ascii="Times New Roman" w:hAnsi="Times New Roman" w:cs="仿宋_GB2312"/>
          <w:sz w:val="32"/>
          <w:szCs w:val="32"/>
        </w:rPr>
      </w:pPr>
      <w:r>
        <w:rPr>
          <w:rFonts w:hint="eastAsia" w:ascii="Times New Roman" w:hAnsi="Times New Roman" w:cs="仿宋_GB2312"/>
          <w:sz w:val="32"/>
          <w:szCs w:val="32"/>
        </w:rPr>
        <w:t>（七）侵占、损毁、擅自拆除乡村清洁设施。</w:t>
      </w:r>
    </w:p>
    <w:p w14:paraId="36E993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任何单位和个人有维护乡村清洁的义务，有权对破坏乡村清洁的行为进行投诉和举报。对投诉、举报的问题，相关部门应当及时调查处理。</w:t>
      </w:r>
    </w:p>
    <w:p w14:paraId="0D0D3E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各级人民政府、有关部门及其工作人员在乡村清洁工作中不履行或者不正确履行乡村清洁管理职责的，依照法律、法规追究责任，对直接负责的主管人员和其他直接责任人员依法给予处分。</w:t>
      </w:r>
    </w:p>
    <w:p w14:paraId="17D96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违反本条例规定的行为，依照有关法律、法规的规定予以处罚。</w:t>
      </w:r>
    </w:p>
    <w:p w14:paraId="4486E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7762CF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3085</Words>
  <Characters>3096</Characters>
  <Lines>87</Lines>
  <Paragraphs>24</Paragraphs>
  <TotalTime>3</TotalTime>
  <ScaleCrop>false</ScaleCrop>
  <LinksUpToDate>false</LinksUpToDate>
  <CharactersWithSpaces>3123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2024-12-19T10:04:39Z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38D43E02C9C9481BA1ABCC87ADE0DC92_13</vt:lpwstr>
  </property>
  <property fmtid="{D5CDD505-2E9C-101B-9397-08002B2CF9AE}" pid="3" name="KSOProductBuildVer">
    <vt:lpwstr>2052-12.1.0.19302</vt:lpwstr>
  </property>
</Properties>
</file>