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A816A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遂宁市人民代表大会及其常务委员会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w:t>
      </w:r>
    </w:p>
    <w:p w14:paraId="24AC4E9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（2016年9月14日经遂宁市第七届人民代表大会第一次会议通过　2016年11月30日四川省第十二届人民代表大会常务委员会第二十九次会议批准　根据2024年5月30日遂宁市第八届人民代表大会常务委员会第二十七次会议通过　2024年7月29日四川省第十四届人民代表大会常务委员会第十四次会议批准的《遂宁市人民代表大会常务委员会关于修改〈遂宁市人民代表大会及其常务委员会立法条例〉的决定》修正）</w:t>
      </w:r>
    </w:p>
    <w:p w14:paraId="6EE2283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B7858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立法规划与立法计划</w:t>
      </w:r>
    </w:p>
    <w:p w14:paraId="5DF3076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法规草案起草</w:t>
      </w:r>
    </w:p>
    <w:p w14:paraId="44030E9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市人民代表大会立法程序</w:t>
      </w:r>
    </w:p>
    <w:p w14:paraId="7A3AAF4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市人民代表大会常务委员会立法程序</w:t>
      </w:r>
    </w:p>
    <w:p w14:paraId="0F2594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市人民政府规章的备案审查</w:t>
      </w:r>
    </w:p>
    <w:p w14:paraId="2235F89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其他规定</w:t>
      </w:r>
    </w:p>
    <w:p w14:paraId="6787D3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2E948D6C">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28B580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遂宁市人民代表大会及其常务委员会的立法活动，提高地方立法的质量，发挥地方立法的引领和推动作用，全面推进依法治市，根据《中华人民共和国宪法》、《中华人民共和国地方各级人民代表大会和地方各级人民政府组织法》和《中华人民共和国立法法》等有关规定，结合遂宁市实际，制定本条例。</w:t>
      </w:r>
    </w:p>
    <w:p w14:paraId="341D0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市人民代表大会及其常务委员会制定、修改和废止城乡建设与管理、生态文明建设、历史文化保护、基层治理等方面事项的地方性法规，对市人民政府规章的备案审查，适用本条例。</w:t>
      </w:r>
    </w:p>
    <w:p w14:paraId="274FA9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为全面建设社会主义现代化遂宁提供法治保障。</w:t>
      </w:r>
    </w:p>
    <w:p w14:paraId="4C5BE9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地方立法应当坚持科学立法、民主立法、依法立法。</w:t>
      </w:r>
    </w:p>
    <w:p w14:paraId="6508B7A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地方立法应当符合宪法的规定、原则和精神，依照法定的权限和程序，不同宪法、法律、行政法规和本省地方性法规相抵触，从国家整体利益出发，维护社会主义法制的统一、尊严、权威。</w:t>
      </w:r>
    </w:p>
    <w:p w14:paraId="48C2B28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地方立法应当坚持和发展全过程人民民主，尊重和保障人权，保障和促进社会公平正义。</w:t>
      </w:r>
    </w:p>
    <w:p w14:paraId="5699656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地方立法应当适应经济社会发展和全面深化改革的要求，坚持问题导向，体现地方特色，依法科学合理地规定公民、法人和其他组织的权利与义务、国家机关的权力与责任。</w:t>
      </w:r>
    </w:p>
    <w:p w14:paraId="7B41538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地方性法规规范应当明确、具体，具有针对性和可执行性。</w:t>
      </w:r>
    </w:p>
    <w:p w14:paraId="3795A9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地方立法应当倡导和弘扬社会主义核心价值观，坚持依法治国和以德治国相结合，铸牢中华民族共同体意识，推动社会主义精神文明建设。</w:t>
      </w:r>
    </w:p>
    <w:p w14:paraId="1EE15B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地方立法应当适应改革需要，坚持在法治下推进改革和在改革中完善法治相统一，引导、推动、规范、保障相关改革，发挥法治在推进治理体系和治理能力现代化中的重要作用。</w:t>
      </w:r>
    </w:p>
    <w:p w14:paraId="7A9482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地方立法应当坚持和完善党委领导、人大主导、政府依托、各方参与的立法工作格局。</w:t>
      </w:r>
    </w:p>
    <w:p w14:paraId="54FDA04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市人民代表大会及其常务委员会应当发挥在地方立法工作中的主导作用，加强对立法工作的组织协调，通过制定、修改和废止地方性法规等多种形式，增强地方立法的系统性、整体性、协同性、时效性。</w:t>
      </w:r>
    </w:p>
    <w:p w14:paraId="013E0A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市人民代表大会及其常务委员会根据区域协调发展的需要，可以与有关设区的市人民代表大会及其常务委员会建立区域协同立法工作机制，开展协同立法。</w:t>
      </w:r>
    </w:p>
    <w:p w14:paraId="377EADF0">
      <w:pPr>
        <w:rPr>
          <w:rFonts w:ascii="Times New Roman" w:hAnsi="Times New Roman" w:eastAsia="宋体" w:cs="宋体"/>
          <w:szCs w:val="32"/>
        </w:rPr>
      </w:pPr>
    </w:p>
    <w:p w14:paraId="502FE8C1">
      <w:pPr>
        <w:jc w:val="center"/>
        <w:rPr>
          <w:rFonts w:ascii="Times New Roman" w:hAnsi="Times New Roman" w:eastAsia="黑体" w:cs="黑体"/>
          <w:szCs w:val="32"/>
        </w:rPr>
      </w:pPr>
      <w:r>
        <w:rPr>
          <w:rFonts w:hint="eastAsia" w:ascii="Times New Roman" w:hAnsi="Times New Roman" w:eastAsia="黑体" w:cs="黑体"/>
          <w:szCs w:val="32"/>
        </w:rPr>
        <w:t>第二章　立法规划与立法计划</w:t>
      </w:r>
    </w:p>
    <w:p w14:paraId="36782753">
      <w:pPr>
        <w:rPr>
          <w:rFonts w:ascii="Times New Roman" w:hAnsi="Times New Roman" w:eastAsia="宋体" w:cs="宋体"/>
          <w:szCs w:val="32"/>
        </w:rPr>
      </w:pPr>
    </w:p>
    <w:p w14:paraId="624D2D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市人民代表大会常务委员会通过立法规划、年度立法计划等形式，加强对全市立法工作的统筹安排。在每届第一年度制定本届任期内的立法规划，根据立法规划，结合实际，制定年度立法计划。</w:t>
      </w:r>
    </w:p>
    <w:p w14:paraId="53CAF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制定立法规划和年度立法计划，应当向社会公开征集立法选题和立法建议。</w:t>
      </w:r>
    </w:p>
    <w:p w14:paraId="2544C7E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国家机关、社会团体、企业事业组织以及公民可以向市人民代表大会常务委员会提出立法建议。</w:t>
      </w:r>
    </w:p>
    <w:p w14:paraId="196620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市人民代表大会常务委员会法制工作机构负责编制立法规划草案和年度立法计划草案。</w:t>
      </w:r>
    </w:p>
    <w:p w14:paraId="4FD38236">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草案和年度立法计划草案，应当践行全过程人民民主，认真研究代表议案和建议，广泛征集各方意见，根据经济社会发展和民主法治建设的需要，综合考虑法律法规的实施情况和社会重大关切等因素，提高地方立法的及时性、针对性。</w:t>
      </w:r>
    </w:p>
    <w:p w14:paraId="701F22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市人民代表大会常务委员会审议的时间。</w:t>
      </w:r>
    </w:p>
    <w:p w14:paraId="14ED8B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代表大会常务委员会法制工作机构研究编制立法规划草案和年度立法计划草案，应当听取有关的专门委员会、常务委员会工作机构、市人民政府法制机构、有关部门、县（市、区）人民代表大会常务委员会、基层立法联系点、市人民代表大会代表和专家等方面的意见。发挥代表之家、代表联络站等作用，听取社会公众意见。</w:t>
      </w:r>
    </w:p>
    <w:p w14:paraId="5DC4B16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14:paraId="789065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立法规划草案和年度立法计划草案经常务委员会主任会议通过后，印发常务委员会会议。</w:t>
      </w:r>
    </w:p>
    <w:p w14:paraId="4D80F6E3">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立法规划和年度立法计划应当向社会公布。</w:t>
      </w:r>
    </w:p>
    <w:p w14:paraId="7DFFE31A">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年度立法计划应当包含立法项目、提案人、起草主体、法规案提交时间等内容。</w:t>
      </w:r>
    </w:p>
    <w:p w14:paraId="56BEA8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代表大会常务委员会法制工作机构按照常务委员会的要求，督促年度立法计划的落实。若有特殊情况需要调整年度立法计划中的立法项目的，由有关的专门委员会或者常务委员会工作机构提出调整意见报常务委员会主任会议决定。</w:t>
      </w:r>
    </w:p>
    <w:p w14:paraId="18A847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市人民政府年度立法工作计划应当与市人民代表大会常务委员会立法规划和年度立法计划相衔接。</w:t>
      </w:r>
    </w:p>
    <w:p w14:paraId="2921F75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市人民政府法制机构编制市人民政府年度立法工作计划应当征求有关的专门委员会、常务委员会工作机构的意见。</w:t>
      </w:r>
    </w:p>
    <w:p w14:paraId="2189781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市人民政府下一年度立法工作计划应当在每年10月底前书面报送市人民代表大会常务委员会。</w:t>
      </w:r>
    </w:p>
    <w:p w14:paraId="43443973">
      <w:pPr>
        <w:rPr>
          <w:rFonts w:ascii="Times New Roman" w:hAnsi="Times New Roman" w:eastAsia="宋体" w:cs="宋体"/>
          <w:szCs w:val="32"/>
        </w:rPr>
      </w:pPr>
    </w:p>
    <w:p w14:paraId="1035A3B8">
      <w:pPr>
        <w:jc w:val="center"/>
        <w:rPr>
          <w:rFonts w:ascii="Times New Roman" w:hAnsi="Times New Roman" w:eastAsia="黑体" w:cs="黑体"/>
          <w:szCs w:val="32"/>
        </w:rPr>
      </w:pPr>
      <w:r>
        <w:rPr>
          <w:rFonts w:hint="eastAsia" w:ascii="Times New Roman" w:hAnsi="Times New Roman" w:eastAsia="黑体" w:cs="黑体"/>
          <w:szCs w:val="32"/>
        </w:rPr>
        <w:t>第三章　法规草案起草</w:t>
      </w:r>
    </w:p>
    <w:p w14:paraId="545BB74C">
      <w:pPr>
        <w:rPr>
          <w:rFonts w:ascii="Times New Roman" w:hAnsi="Times New Roman" w:eastAsia="宋体" w:cs="宋体"/>
          <w:szCs w:val="32"/>
        </w:rPr>
      </w:pPr>
    </w:p>
    <w:p w14:paraId="204C60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地方性法规案由提案人负责组织起草。</w:t>
      </w:r>
    </w:p>
    <w:p w14:paraId="58429C6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常务委员会主任会议提出的地方性法规案，由主任会议决定交由市人民代表大会有关的专门委员会或者常务委员会有关工作机构负责起草。</w:t>
      </w:r>
    </w:p>
    <w:p w14:paraId="1740EC5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市人民政府提出的地方性法规案，由市级有关部门或者人民团体负责起草；涉及部门较多且协调复杂的综合性地方性法规案，市人民政府应当确定牵头部门负责起草。</w:t>
      </w:r>
    </w:p>
    <w:p w14:paraId="28089A0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有关的专门委员会提出的地方性法规案，由有关的专门委员会负责起草或者组织有关单位起草。</w:t>
      </w:r>
    </w:p>
    <w:p w14:paraId="5CDC14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政府提出的地方性法规案，起草责任单位、市人民政府法制机构应当邀请市人民代表大会有关的专门委员会、常务委员会法制工作机构提前参与起草工作，并向其征询意见。市人民政府法制机构应当加强协调指导，并对地方性法规草案必要性、可行性、合法性等进行重点审查。有关的专门委员会和常务委员会法制工作机构应当参与调研论证。</w:t>
      </w:r>
    </w:p>
    <w:p w14:paraId="3A4BF64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市人民代表大会有关的专门委员会、常务委员会有关工作机构负责起草或者组织有关单位起草的地方性法规案，市人民政府法制机构以及有关部门、人民团体应当按要求参与配合。</w:t>
      </w:r>
    </w:p>
    <w:p w14:paraId="40448F07">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专业性较强的地方性法规草案，可以吸收相关领域专家参与起草工作，或者委托有关专家、教学科研单位、社会组织等起草。委托机构负责委托起草工作的组织、管理、监督和评估。</w:t>
      </w:r>
    </w:p>
    <w:p w14:paraId="249BD3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起草地方性法规草案应当加强调查研究，广泛听取有关机关、组织、市人民代表大会代表等各方面意见，并按照有关规定，将地方性法规草案及相关说明向社会公布，征求意见。</w:t>
      </w:r>
    </w:p>
    <w:p w14:paraId="493C35AC">
      <w:pPr>
        <w:ind w:firstLine="632" w:firstLineChars="200"/>
        <w:rPr>
          <w:rFonts w:ascii="Times New Roman" w:hAnsi="Times New Roman" w:cs="仿宋_GB2312"/>
          <w:sz w:val="32"/>
          <w:szCs w:val="32"/>
        </w:rPr>
      </w:pPr>
      <w:r>
        <w:rPr>
          <w:rFonts w:hint="eastAsia" w:ascii="Times New Roman" w:hAnsi="Times New Roman" w:cs="仿宋_GB2312"/>
          <w:sz w:val="32"/>
          <w:szCs w:val="32"/>
        </w:rPr>
        <w:t>新设行政许可、行政处罚、行政强制措施的，存在重大意见分歧或者涉及利益关系重大调整的，以及其他涉及行政管理部门与管理相对人之间重大利害关系的，应当依法进行听证、论证。</w:t>
      </w:r>
    </w:p>
    <w:p w14:paraId="2C2679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提出地方性法规案，应当同时提出地方性法规草案文本及其说明，一并报送论证情况、听证情况、立法风险评估情况、条文依据等材料。地方性法规草案的说明应当包括制定或者修改地方性法规的必要性、可行性和主要内容，以及起草过程中对重大分歧意见的协调处理情况；废止地方性法规的，其起草说明应当明确废止的必要性和理由依据，以及对重大分歧意见的协调处理情况。</w:t>
      </w:r>
    </w:p>
    <w:p w14:paraId="5B765D3D">
      <w:pPr>
        <w:rPr>
          <w:rFonts w:ascii="Times New Roman" w:hAnsi="Times New Roman" w:eastAsia="宋体" w:cs="宋体"/>
          <w:szCs w:val="32"/>
        </w:rPr>
      </w:pPr>
    </w:p>
    <w:p w14:paraId="63D24294">
      <w:pPr>
        <w:jc w:val="center"/>
        <w:rPr>
          <w:rFonts w:ascii="Times New Roman" w:hAnsi="Times New Roman" w:eastAsia="黑体" w:cs="黑体"/>
          <w:szCs w:val="32"/>
        </w:rPr>
      </w:pPr>
      <w:r>
        <w:rPr>
          <w:rFonts w:hint="eastAsia" w:ascii="Times New Roman" w:hAnsi="Times New Roman" w:eastAsia="黑体" w:cs="黑体"/>
          <w:szCs w:val="32"/>
        </w:rPr>
        <w:t>第四章　市人民代表大会立法程序</w:t>
      </w:r>
    </w:p>
    <w:p w14:paraId="6F806E42">
      <w:pPr>
        <w:rPr>
          <w:rFonts w:ascii="Times New Roman" w:hAnsi="Times New Roman" w:eastAsia="宋体" w:cs="宋体"/>
          <w:szCs w:val="32"/>
        </w:rPr>
      </w:pPr>
    </w:p>
    <w:p w14:paraId="1EFF8A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市人民代表大会主席团可以向市人民代表大会提出地方性法规案，由市人民代表大会会议审议。</w:t>
      </w:r>
    </w:p>
    <w:p w14:paraId="744F7B7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7DB2A4B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代表团或者十名以上的市人民代表大会代表联名，可以向市人民代表大会提出地方性法规案，由主席团决定是否列入会议议程，或者先交有关的专门委员会审议、提出是否列入会议议程的意见，再决定是否列入会议议程。不列入会议议程的，应当向提案人说明。</w:t>
      </w:r>
    </w:p>
    <w:p w14:paraId="4873AAC7">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477B5C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14:paraId="76FBD42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的意见，并将有关情况予以反馈；专门委员会和常务委员会工作机构进行立法调研，可以邀请有关市人民代表大会代表参加。</w:t>
      </w:r>
    </w:p>
    <w:p w14:paraId="610A9D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市人民代表大会常务委员会决定提请市人民代表大会审议的地方性法规案，常务委员会办公室应当在会议举行一个月前将地方性法规草案发给市人民代表大会代表，并可以适时组织代表研读讨论，征求代表意见。</w:t>
      </w:r>
    </w:p>
    <w:p w14:paraId="547E57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列入市人民代表大会会议议程的地方性法规案，大会全体会议听取常务委员会或者提案人的说明后，由各代表团进行审议。</w:t>
      </w:r>
    </w:p>
    <w:p w14:paraId="2D3796C9">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各代表团审议地方性法规案时，提案人应当派人听取意见，回答询问；有关机关、组织应当根据代表团的要求，派人介绍情况。</w:t>
      </w:r>
    </w:p>
    <w:p w14:paraId="0BF953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列入市人民代表大会会议议程的地方性法规案，由有关的专门委员会进行审议，向主席团提出审议意见，并印发会议。</w:t>
      </w:r>
    </w:p>
    <w:p w14:paraId="4EA6A3F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14:paraId="04700D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列入市人民代表大会会议议程的地方性法规案，必要时，主席团常务主席可以召开各代表团团长会议，就地方性法规案中的重大问题进行讨论，并将讨论的情况和意见向主席团报告。</w:t>
      </w:r>
    </w:p>
    <w:p w14:paraId="3A620788">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主席团常务主席也可以就地方性法规案中的重大的专业性问题，召集有关代表进行讨论，并将讨论的情况和意见向主席团报告。</w:t>
      </w:r>
    </w:p>
    <w:p w14:paraId="7ABFEF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列入市人民代表大会会议议程的地方性法规案，在交付表决前提案人要求撤回的，应当书面说明理由，经主席团同意，并向大会报告，对该地方性法规案的审议即行终止。</w:t>
      </w:r>
    </w:p>
    <w:p w14:paraId="402E78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6710FC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地方性法规草案修改稿经各代表团审议后，由法制委员会根据审议意见进行修改，提出地方性法规草案表决稿，由主席团提请大会全体会议表决，由全体代表的过半数通过。</w:t>
      </w:r>
    </w:p>
    <w:p w14:paraId="7D83A9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在市人民代表大会闭会期间，市人民代表大会常务委员会可以对市人民代表大会制定的地方性法规进行部分补充和修改，但是不得同该地方性法规的基本原则相抵触。</w:t>
      </w:r>
    </w:p>
    <w:p w14:paraId="26D26289">
      <w:pPr>
        <w:rPr>
          <w:rFonts w:ascii="Times New Roman" w:hAnsi="Times New Roman" w:eastAsia="宋体" w:cs="宋体"/>
          <w:szCs w:val="32"/>
        </w:rPr>
      </w:pPr>
    </w:p>
    <w:p w14:paraId="1E68F77C">
      <w:pPr>
        <w:jc w:val="center"/>
        <w:rPr>
          <w:rFonts w:ascii="Times New Roman" w:hAnsi="Times New Roman" w:eastAsia="黑体" w:cs="黑体"/>
          <w:szCs w:val="32"/>
        </w:rPr>
      </w:pPr>
      <w:r>
        <w:rPr>
          <w:rFonts w:hint="eastAsia" w:ascii="Times New Roman" w:hAnsi="Times New Roman" w:eastAsia="黑体" w:cs="黑体"/>
          <w:szCs w:val="32"/>
        </w:rPr>
        <w:t>第五章　市人民代表大会常务委员会立法程序</w:t>
      </w:r>
    </w:p>
    <w:p w14:paraId="5934F52E">
      <w:pPr>
        <w:rPr>
          <w:rFonts w:ascii="Times New Roman" w:hAnsi="Times New Roman" w:eastAsia="宋体" w:cs="宋体"/>
          <w:szCs w:val="32"/>
        </w:rPr>
      </w:pPr>
    </w:p>
    <w:p w14:paraId="490163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常务委员会主任会议可以向常务委员会提出地方性法规案，由常务委员会会议审议。</w:t>
      </w:r>
    </w:p>
    <w:p w14:paraId="56C564F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的专门委员会审议、提出报告，再决定列入常务委员会会议议程。如果主任会议认为该地方性法规案有重大问题需要进一步研究，可以建议提案人修改完善后再向常务委员会提出。</w:t>
      </w:r>
    </w:p>
    <w:p w14:paraId="1AE2F5D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14:paraId="18683C3B">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专门委员会审议地方性法规案时，可以邀请提案人列席会议，发表意见。</w:t>
      </w:r>
    </w:p>
    <w:p w14:paraId="5C01234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地方性法规案在提请常务委员会主任会议决定列入常务委员会会议议程一个月前，起草单位应当向有关的专门委员会报送地方性法规草案文本、起草说明及有关资料。</w:t>
      </w:r>
    </w:p>
    <w:p w14:paraId="67EF350D">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提案人不能按照年度立法计划确定的时间提出地方性法规案的，应当作出书面说明，由有关的专门委员会向主任会议报告。</w:t>
      </w:r>
    </w:p>
    <w:p w14:paraId="7582C8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提请常务委员会会议审议的地方性法规案，应当于常务委员会会议举行十五日前报送常务委员会，并附地方性法规草案文本、说明以及论证情况、听证情况及立法风险评估情况等有关资料。</w:t>
      </w:r>
    </w:p>
    <w:p w14:paraId="269B83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列入常务委员会会议议程的地方性法规案，除特殊情况外，常务委员会办公室应当于会议举行的七日前将地方性法规草案发给常务委员会组成人员。</w:t>
      </w:r>
    </w:p>
    <w:p w14:paraId="26B2860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常务委员会会议审议地方性法规案时，应当邀请有关的市人民代表大会代表列席会议。</w:t>
      </w:r>
    </w:p>
    <w:p w14:paraId="5558D8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列入常务委员会会议议程的地方性法规案，一般应当经三次常务委员会会议审议后再交付表决。</w:t>
      </w:r>
    </w:p>
    <w:p w14:paraId="6BF1A3D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地方性法规案，在全体会议上听取提案人的说明和有关的专门委员会的审议意见，由常务委员会分组会议对地方性法规草案进行审议。有关的专门委员会的审议意见应当包括制定该地方性法规的必要性，地方性法规草案的可行性、合法性以及对专业性问题的意见。</w:t>
      </w:r>
    </w:p>
    <w:p w14:paraId="2A91124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常务委员会会议第二次审议地方性法规案，在全体会议上听取法制委员会关于地方性法规草案的修改情况的汇报，由分组会议进一步审议。</w:t>
      </w:r>
    </w:p>
    <w:p w14:paraId="388F27F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地方性法规案，在全体会议上听取法制委员会关于地方性法规草案审议结果的报告，由分组会议对地方性法规草案修改稿进行审议。地方性法规案经常务委员会会议三次审议后，仍有重大问题需要进一步研究的，由常务委员会主任会议决定可以暂不付表决。有关重大问题经修改或者协调后得到解决的，由主任会议决定提请今后的常务委员会会议继续审议后，再交付表决。</w:t>
      </w:r>
    </w:p>
    <w:p w14:paraId="5F0E099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常务委员会审议地方性法规案时，根据需要，可以召开分组会议或者全体会议，对地方性法规草案中的主要问题进行讨论。</w:t>
      </w:r>
    </w:p>
    <w:p w14:paraId="4E9325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列入常务委员会会议议程的地方性法规案，各方面意见比较一致的，可以经两次常务委员会会议审议后交付表决。</w:t>
      </w:r>
    </w:p>
    <w:p w14:paraId="401A272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拟经两次常务委员会会议审议即交付表决的，常务委员会会议第二次审议该地方性法规案时，在全体会议上听取法制委员会关于地方性法规草案审议结果的报告，由法制委员会在常务委员会会议期间，根据常务委员会组成人员对地方性法规草案修改稿的审议情况，提请常务委员会主任会议决定是否交付表决。</w:t>
      </w:r>
    </w:p>
    <w:p w14:paraId="2C26D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调整事项较为单一或者部分修改，各方面意见比较一致的，或者遇有紧急情形的，也可以经一次常务委员会会议审议即交付表决。地方性法规案经一次常务委员会会议审议即交付表决的，由法制委员会提请常务委员会主任会议决定。</w:t>
      </w:r>
    </w:p>
    <w:p w14:paraId="68E04CC5">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经一次常务委员会会议审议即交付表决的地方性法规案，法制委员会根据常务委员会组成人员、有关的专门委员会的审议意见和各方面提出的意见，向常务委员会会议提出审议结果报告和地方性法规草案表决稿。</w:t>
      </w:r>
    </w:p>
    <w:p w14:paraId="1FEA231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地方性法规的废止案，适用前两款规定。</w:t>
      </w:r>
    </w:p>
    <w:p w14:paraId="6DECD9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常务委员会分组会议或者全体会议审议地方性法规案时，提案人应当派人听取意见，回答询问。</w:t>
      </w:r>
    </w:p>
    <w:p w14:paraId="04EF527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常务委员会分组会议审议地方性法规案时，根据小组的要求，有关机关、组织应当派人介绍情况。</w:t>
      </w:r>
    </w:p>
    <w:p w14:paraId="590D4D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列入常务委员会会议议程继续审议的地方性法规案，有关的专门委员会可以提出审议意见，印发常务委员会会议。</w:t>
      </w:r>
    </w:p>
    <w:p w14:paraId="7328C33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有关的专门委员会审议地方性法规案时，应当召开全体会议审议，根据需要，可以要求有关机关、组织派人说明情况；可以邀请其他相关的专门委员会成员和有关市人民代表大会代表列席会议，发表意见。</w:t>
      </w:r>
    </w:p>
    <w:p w14:paraId="616300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修改情况的汇报或者审议结果报告中予以说明。对有关的专门委员会的审议意见没有采纳的，应当向有关的专门委员会反馈。</w:t>
      </w:r>
    </w:p>
    <w:p w14:paraId="6B1D207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法制委员会审议地方性法规案，应当邀请有关的专门委员会成员列席会议，发表意见。</w:t>
      </w:r>
    </w:p>
    <w:p w14:paraId="4CACD9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专门委员会之间对地方性法规草案的重要问题意见不一致时，应当向主任会议报告。</w:t>
      </w:r>
    </w:p>
    <w:p w14:paraId="4C0CF4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列入常务委员会会议议程的地方性法规案，法制委员会、有关的专门委员会和常务委员会工作机构应当听取各方面的意见。听取意见可以采取座谈会、论证会、听证会等多种形式。</w:t>
      </w:r>
    </w:p>
    <w:p w14:paraId="5837FDA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地方性法规案有关问题专业性较强，需要进行可行性评价的，应当召开论证会，听取有关专家、部门、基层立法联系点和市人民代表大会代表等方面的意见。论证情况应当向常务委员会报告。</w:t>
      </w:r>
    </w:p>
    <w:p w14:paraId="2CA7B8E8">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存在重大意见分歧或者涉及利益关系重大调整，需要进行听证的，应当召开听证会，听取有关基层和相关利益群体代表、部门、人民团体、专家、市人民代表大会代表和社会有关方面的意见。听证情况应当向常务委员会报告。</w:t>
      </w:r>
    </w:p>
    <w:p w14:paraId="421706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常务委员会法制工作机构应当将地方性法规草案发送相关领域的市人民代表大会代表、各县（市、区）人民代表大会常务委员会以及有关部门、组织和专家征求意见。</w:t>
      </w:r>
    </w:p>
    <w:p w14:paraId="44E4C4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应当在常务委员会会议后将地方性法规草案及其起草、修改说明等向社会公布，征求意见，但是经常务委员会主任会议决定不公布的除外。向社会公布征求意见的时间一般不少于三十日。征求意见的情况应当向社会通报。</w:t>
      </w:r>
    </w:p>
    <w:p w14:paraId="4391E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常务委员会法制工作机构收集整理分组审议的意见和各方面提出的意见以及其他有关资料，应当分送法制委员会和有关的专门委员会，并根据需要，印发常务委员会会议。</w:t>
      </w:r>
    </w:p>
    <w:p w14:paraId="5CD636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拟提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评估报告印发常务委员会会议。</w:t>
      </w:r>
    </w:p>
    <w:p w14:paraId="316555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列入常务委员会会议议程的地方性法规案，在交付表决前，提案人要求撤回的，应当书面说明理由，经常务委员会主任会议同意，并向常务委员会报告，对该地方性法规案的审议即行终止。</w:t>
      </w:r>
    </w:p>
    <w:p w14:paraId="282B28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列入常务委员会会议审议的地方性法规案，因各方面对制定的必要性、可行性等重大问题存在较大意见分歧搁置审议满两年的，或者因暂不付表决经过两年没有再次列入常务委员会会议议程审议的，常务委员会主任会议可以决定终止审议，并向常务委员会报告；必要时，主任会议也可以决定延期审议。</w:t>
      </w:r>
    </w:p>
    <w:p w14:paraId="10E45A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草案修改稿经常务委员会会议审议，由法制委员会根据常务委员会组成人员的审议意见进行修改，提出地方性法规草案表决稿，由常务委员会主任会议提请常务委员会全体会议表决，由常务委员会全体组成人员的过半数通过。</w:t>
      </w:r>
    </w:p>
    <w:p w14:paraId="2C4452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草案表决稿交付常务委员会会议表决前，专门委员会或者常务委员会组成人员五人以上联名对其中的个别意见分歧较大的重要条款书面提出异议的，经常务委员会主任会议决定，可以将该重要条款提请常务委员会会议单独表决，由常务委员会全体组成人员的过半数通过后，再对地方性法规草案表决稿进行表决。</w:t>
      </w:r>
    </w:p>
    <w:p w14:paraId="29306E5F">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单独表决的条款未获常务委员会全体组成人员过半数通过的，经主任会议决定，该地方性法规草案表决稿暂不付表决，交法制委员会和有关的专门委员会进一步审议。</w:t>
      </w:r>
    </w:p>
    <w:p w14:paraId="18B620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对多部地方性法规中涉及同类事项的个别条款进行修改，一并提出地方性法规案的，经常务委员会主任会议决定，可以合并表决，也可以分别表决。</w:t>
      </w:r>
    </w:p>
    <w:p w14:paraId="5FD597C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地方性法规草案与其他地方性法规相关规定不一致的，提案人应当予以说明并提出处理意见，必要时应当同时提出修改或者废止其他地方性法规相关规定的议案。</w:t>
      </w:r>
    </w:p>
    <w:p w14:paraId="63F055F8">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法制委员会和有关的专门委员会审议地方性法规案时，认为需要修改或者废止其他地方性法规相关规定的，应当提出处理意见。</w:t>
      </w:r>
    </w:p>
    <w:p w14:paraId="3BEC32CA">
      <w:pPr>
        <w:rPr>
          <w:rFonts w:ascii="Times New Roman" w:hAnsi="Times New Roman" w:eastAsia="宋体" w:cs="宋体"/>
          <w:szCs w:val="32"/>
        </w:rPr>
      </w:pPr>
    </w:p>
    <w:p w14:paraId="31B0771D">
      <w:pPr>
        <w:jc w:val="center"/>
        <w:rPr>
          <w:rFonts w:ascii="Times New Roman" w:hAnsi="Times New Roman" w:eastAsia="黑体" w:cs="黑体"/>
          <w:szCs w:val="32"/>
        </w:rPr>
      </w:pPr>
      <w:r>
        <w:rPr>
          <w:rFonts w:hint="eastAsia" w:ascii="Times New Roman" w:hAnsi="Times New Roman" w:eastAsia="黑体" w:cs="黑体"/>
          <w:szCs w:val="32"/>
        </w:rPr>
        <w:t>第六章　市人民政府规章的备案审查</w:t>
      </w:r>
    </w:p>
    <w:p w14:paraId="071D5605">
      <w:pPr>
        <w:rPr>
          <w:rFonts w:ascii="Times New Roman" w:hAnsi="Times New Roman" w:eastAsia="宋体" w:cs="宋体"/>
          <w:szCs w:val="32"/>
        </w:rPr>
      </w:pPr>
    </w:p>
    <w:p w14:paraId="29D35C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市人民政府制定的规章应当在公布后三十日内报市人民代表大会常务委员会备案。</w:t>
      </w:r>
    </w:p>
    <w:p w14:paraId="05B255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报送备案的文件，应当包括备案报告、规章正式文本和说明等文件，并附有关法律、地方性法规、规章等制定依据。</w:t>
      </w:r>
    </w:p>
    <w:p w14:paraId="3FA3AC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监察委员会、市中级人民法院、市人民检察院或者县（市、区）人民代表大会常务委员会认为市人民政府制定的规章同宪法、法律、行政法规、本省地方性法规以及省人民政府规章、本市地方性法规的规定相抵触，或者存在其他合法性问题的，可以向常务委员会书面提出进行审查的要求，由常务委员会法制工作机构接收登记，交有关的专门委员会和常务委员会工作机构进行审查、提出意见，并同步开展审查。</w:t>
      </w:r>
    </w:p>
    <w:p w14:paraId="22B37ED7">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制定的规章同宪法、法律、行政法规、本省地方性法规以及省人民政府规章、本市地方性法规的规定相抵触，或者存在其他合法性问题的，可以向常务委员会书面提出进行审查的建议，由常务委员会法制工作机构接收登记、进行审查；必要时，送有关的专门委员会进行审查、提出意见。</w:t>
      </w:r>
    </w:p>
    <w:p w14:paraId="1935FC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市人民代表大会专门委员会、常务委员会工作机构应当对报送备案的市人民政府制定的规章进行主动审查，并可以根据需要进行专项审查。</w:t>
      </w:r>
    </w:p>
    <w:p w14:paraId="6FA75C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人民代表大会专门委员会、常务委员会工作机构在审查中认为市人民政府制定的规章同宪法、法律、行政法规、本省地方性法规以及省人民政府规章、本市地方性法规相抵触的，或者存在其他合法性问题的，可以向制定机关提出书面审查意见；也可以由法制委员会与有关的专门委员会、常务委员会工作机构召开联合审查会议，要求制定机关到会说明情况，再向制定机关提出书面审查意见。制定机关应当在两个月内提出是否修改或废止的书面意见，并向市人民代表大会法制委员会、有关的专门委员会或者常务委员会工作机构反馈。</w:t>
      </w:r>
    </w:p>
    <w:p w14:paraId="26431E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市人民代表大会法制委员会、有关的专门委员会、常务委员会工作机构根据本条例第五十六条规定，向制定机关提出审查意见，制定机关按照所提意见对其制定的规章进行修改或者废止的，审查终止。</w:t>
      </w:r>
    </w:p>
    <w:p w14:paraId="607015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人民代表大会法制委员会、有关的专门委员会、常务委员会工作机构经审查认为市人民政府制定的规章同宪法、法律、行政法规、本省地方性法规以及省人民政府规章、本市地方性法规相抵触的，或者存在其他合法性问题的需要修改或者废止，而制定机关不予修改或者废止的，应当向常务委员会主任会议提出予以撤销的议案、建议，由主任会议决定提请常务委员会会议审议决定。</w:t>
      </w:r>
    </w:p>
    <w:p w14:paraId="66B3F8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有关的专门委员会、常务委员会工作机构应当加强与提出审查要求、审查建议的国家机关、社会团体、企业事业组织以及公民沟通，增强审查研究的针对性、时效性，按照规定要求，将审查情况向其反馈，并可以向社会公开。</w:t>
      </w:r>
    </w:p>
    <w:p w14:paraId="3B09BC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备案审查机关应当建立健全备案审查衔接联动机制，对应当由其他机关处理的审查要求或者审查建议，及时移送有关机关处理。</w:t>
      </w:r>
    </w:p>
    <w:p w14:paraId="16400119">
      <w:pPr>
        <w:rPr>
          <w:rFonts w:ascii="Times New Roman" w:hAnsi="Times New Roman" w:eastAsia="宋体" w:cs="宋体"/>
          <w:szCs w:val="32"/>
        </w:rPr>
      </w:pPr>
    </w:p>
    <w:p w14:paraId="2E52D89A">
      <w:pPr>
        <w:jc w:val="center"/>
        <w:rPr>
          <w:rFonts w:ascii="Times New Roman" w:hAnsi="Times New Roman" w:eastAsia="黑体" w:cs="黑体"/>
          <w:szCs w:val="32"/>
        </w:rPr>
      </w:pPr>
      <w:r>
        <w:rPr>
          <w:rFonts w:hint="eastAsia" w:ascii="Times New Roman" w:hAnsi="Times New Roman" w:eastAsia="黑体" w:cs="黑体"/>
          <w:szCs w:val="32"/>
        </w:rPr>
        <w:t>第七章　其他规定</w:t>
      </w:r>
    </w:p>
    <w:p w14:paraId="2255A8C4">
      <w:pPr>
        <w:rPr>
          <w:rFonts w:ascii="Times New Roman" w:hAnsi="Times New Roman" w:eastAsia="宋体" w:cs="宋体"/>
          <w:szCs w:val="32"/>
        </w:rPr>
      </w:pPr>
    </w:p>
    <w:p w14:paraId="52B1C0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市人民代表大会及其常务委员会通过的地方性法规，由常务委员会报请省人民代表大会常务委员会批准。</w:t>
      </w:r>
    </w:p>
    <w:p w14:paraId="2EE41EF5">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报请批准地方性法规的议案、文本及其说明和有关资料的准备工作，由常务委员会法制工作机构负责办理。</w:t>
      </w:r>
    </w:p>
    <w:p w14:paraId="6DC3A2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市人民代表大会常务委员会对经省人民代表大会常务委员会批准的地方性法规发布公告予以公布。公告应当载明制定机关、批准机关、通过日期、批准日期、施行日期。</w:t>
      </w:r>
    </w:p>
    <w:p w14:paraId="0366558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制定的地方性法规公布后，其公告、地方性法规文本以及地方性法规草案的说明、审议结果报告等，应当及时在遂宁市人民代表大会常务委员会公报、遂宁人大网以及遂宁日报上刊载。</w:t>
      </w:r>
    </w:p>
    <w:p w14:paraId="5D961FF5">
      <w:pPr>
        <w:ind w:firstLine="632" w:firstLineChars="200"/>
        <w:rPr>
          <w:rFonts w:ascii="Times New Roman" w:hAnsi="Times New Roman" w:cs="仿宋_GB2312"/>
          <w:sz w:val="32"/>
          <w:szCs w:val="32"/>
        </w:rPr>
      </w:pPr>
      <w:r>
        <w:rPr>
          <w:rFonts w:hint="eastAsia" w:ascii="Times New Roman" w:hAnsi="Times New Roman" w:cs="仿宋_GB2312"/>
          <w:sz w:val="32"/>
          <w:szCs w:val="32"/>
        </w:rPr>
        <w:t>在遂宁市人民代表大会常务委员会公报上刊登的地方性法规文本为标准文本。</w:t>
      </w:r>
    </w:p>
    <w:p w14:paraId="542DCF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地方性法规的起草、修改等工作，应当遵守立法技术规范。</w:t>
      </w:r>
    </w:p>
    <w:p w14:paraId="58E862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及其常务委员会制定的地方性法规明确要求有关机关对专门事项作出配套规定的，有关机关应当自地方性法规施行之日起一年内作出规定。地方性法规对配套规定制定期限另有规定的，从其规定。有关机关未能在期限内作出配套规定的，应当向市人民代表大会常务委员会说明情况。</w:t>
      </w:r>
    </w:p>
    <w:p w14:paraId="5BED3A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地方性法规实施满一年的，市人民政府及其有关地方性法规实施部门应当向常务委员会报告地方性法规实施情况。</w:t>
      </w:r>
    </w:p>
    <w:p w14:paraId="330542C2">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实施满三年的，有关的专门委员会、常务委员会工作机构可以组织市人民代表大会代表、专家、执法部门等有关方面，对地方性法规或者地方性法规中的重要制度进行立法后评估。评估情况应当向常务委员会报告。</w:t>
      </w:r>
    </w:p>
    <w:p w14:paraId="2ECA15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市人民代表大会及其常务委员会作出有关地方性法规问题的决定，适用本条例的有关规定。</w:t>
      </w:r>
    </w:p>
    <w:p w14:paraId="24894A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市人民代表大会常务委员会根据实际需要设立基层立法联系点，深入听取基层群众和有关方面对地方性法规草案和立法工作的意见。</w:t>
      </w:r>
    </w:p>
    <w:p w14:paraId="05E41C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市人民代表大会常务委员会加强立法宣传工作，通过多种形式发布立法信息、介绍情况、回应关切。地方性法规公布后，应当及时召开新闻发布会。</w:t>
      </w:r>
    </w:p>
    <w:p w14:paraId="52D26B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对本市地方性法规、规章和其他配套实施的规范性文件，制定机关应当根据维护法制统一的原则和改革发展的需要进行清理。</w:t>
      </w:r>
    </w:p>
    <w:p w14:paraId="6FA9F0B3">
      <w:pPr>
        <w:rPr>
          <w:rFonts w:ascii="Times New Roman" w:hAnsi="Times New Roman" w:eastAsia="宋体" w:cs="宋体"/>
          <w:szCs w:val="32"/>
        </w:rPr>
      </w:pPr>
    </w:p>
    <w:p w14:paraId="0537F7B9">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664F9C8B">
      <w:pPr>
        <w:rPr>
          <w:rFonts w:ascii="Times New Roman" w:hAnsi="Times New Roman" w:eastAsia="宋体" w:cs="宋体"/>
          <w:szCs w:val="32"/>
        </w:rPr>
      </w:pPr>
    </w:p>
    <w:p w14:paraId="2ACB7A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8B7808"/>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0E62748"/>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10168</Words>
  <Characters>10186</Characters>
  <Lines>87</Lines>
  <Paragraphs>24</Paragraphs>
  <TotalTime>7</TotalTime>
  <ScaleCrop>false</ScaleCrop>
  <LinksUpToDate>false</LinksUpToDate>
  <CharactersWithSpaces>10285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2024-11-19T09:27:19Z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C5AA44587AFB451A84CB9A5EF160A4B3_13</vt:lpwstr>
  </property>
  <property fmtid="{D5CDD505-2E9C-101B-9397-08002B2CF9AE}" pid="3" name="KSOProductBuildVer">
    <vt:lpwstr>2052-12.1.0.18912</vt:lpwstr>
  </property>
</Properties>
</file>