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遵义市湘江保护条例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日遵义市第五届人民代表大会常务委员会第十三次会议通过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日贵州省第十三届人民代表大会常务委员会第七次会议批准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日遵义市第六届人民代表大会常务委员会第十八次会议通过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日贵州省第十四届人民代表大会常务委员会第六次会议批准的《遵义市人民代表大会常务委员会关于修改〈遵义市违法建设治理条例〉等</w:t>
      </w:r>
      <w:r>
        <w:rPr>
          <w:rFonts w:hint="default" w:ascii="Times New Roman" w:hAnsi="Times New Roman" w:eastAsia="楷体_GB2312" w:cs="Times New Roman"/>
          <w:sz w:val="32"/>
        </w:rPr>
        <w:t>4</w:t>
      </w:r>
      <w:r>
        <w:rPr>
          <w:rFonts w:hint="eastAsia" w:ascii="楷体_GB2312" w:hAnsi="楷体_GB2312" w:eastAsia="楷体_GB2312" w:cs="楷体_GB2312"/>
          <w:sz w:val="32"/>
        </w:rPr>
        <w:t>件地方性法规部分条款的决定》修正）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湘江水资源保护，强化河湖岸线管理和水污染防治，促进经济社会与资源环境协调可持续发展，根据《中华人民共和国环境保护法》《中华人民共和国水法》《中华人民共和国水污染防治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本条例适用于本市行政区域内湘江的水资源保护、河湖岸线管理、水污染防治等活动。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湘江沿岸的市辖区集中式饮用水水源的保护适用《遵义市市辖区集中式饮用水水源保护条例》的相关规定。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湘江，包括湘江干流和支流。湘江干流，是指自湘江发源地汇川区毛石镇乐遥村白云台三皮枧流经中心城区至河口播州区铁厂镇三星村汇入乌江干流的河段；湘江支流包括大板水、高坪河、高桥河（高泥河）、洛江、虾子河、蚂蚁河（舟水河）、坪桥河、礼仪河（小河）、深溪河（老木沟）、三坝河、仁江、上水、瓜园河、鱼剑河、团溪河、湄江、流水溪、三岔河、马家河、黄泥沟、干溪河、板水沟、螃蟹河、四衙水、忠庄河、亮石河、双仙河、大厂沟、麻沟、后水河、洪江、复兴河、卜水河、天成河、湄水河、鱼泉河、青龙河、陶泥河、茅官河、洛安江等河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湘江保护应当坚持统筹规划、系统保护、分类施策、综合治理、人水和谐的原则。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湘江保护实行统一管理与属地分段管理相结合的管理体制，属地分段管理应当服从统一管理。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负责湘江保护工作，落实河（湖）长制、领导干部自然资源资产离任审计制，分级制定湘江保护属地责任制和保护目标，每年组织检查考核，考核结果纳入年度目标责任考核内容和领导干部政绩评价体系，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相关县、乡两级人民政府和市新区管理机构、街道办事处负责本辖区内的湘江保护工作，承担属地管理责任。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相关村（居）民委员会采取村规民约等方式规范村（居）民行为，引导、鼓励村（居）民参与湘江保护。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市和相关县级人民政府水行政主管部门分级负责湘江水资源保护和利用的统一监督管理。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市人民政府水行政主管部门应当会同其他有关部门编制湘江水资源保护规划和河湖岸线利用管理规划，报市人民政府批准后实施。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市和相关县级人民政府生态环境行政主管部门分级负责湘江水污染防治的统一监督管理。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市人民政府生态环境行政主管部门应当会同其他有关部门编制湘江水污染防治规划、畜禽养殖污染防治规划，报市人民政府批准后实施。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市和相关县级人民政府其他有关部门按照各自职责，共同做好湘江保护工作。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编制湘江相关规划应当符合本市国民经济和社会发展规划、国土空间总体规划和环境保护规划的要求，并进行环境影响评价。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经批准的湘江相关规划，应当依法向社会公开，任何单位和个人不得擅自改变。确需调整的，应当按照规划编制程序报原批准机关批准。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市人民政府应当建立湘江保护联动协调机制，统筹湘江保护中的重大事项，加强与毗邻市、州人民政府的沟通协调，定期组织开展湘江保护研讨或者联合执法行动。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市人民政府应当建立健全湘江生态保护补偿机制，落实生态红线保护制度，对因承担生态保护责任而使经济社会发展受到限制的区域予以补偿。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市人民政府可以发起设立湘江保护公益基金。鼓励公民、法人和其他组织向湘江保护公益基金进行捐赠。湘江保护公益基金收支使用情况应当向社会公布。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任何单位和个人都有保护湘江的义务，有权制止、检举破坏湘江水资源和水生态环境的行为。鼓励和支持法律规定的机关和有关组织依法提起湘江环境公益诉讼。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和相关县级人民政府应当建立完善湘江保护监督管理信息共享机制，将湘江水质、排污口设置、重点排污单位、水污染防治、水工程建设、水资源利用、突发水环境事件以及行政许可、行政处罚等信息纳入生态文明建设信息共享平台，依法及时向社会公布，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其他有关部门应当向征信机构提供企业事业单位和其他生产经营者涉及湘江的环境保护信息和行政处罚信息。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Times New Roman" w:hAnsi="Times New Roman" w:eastAsia="仿宋_GB2312"/>
          <w:sz w:val="32"/>
        </w:rPr>
        <w:t>　每年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日为遵义市湘江保护日。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水资源保护与水生态修复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湘江实行最严格的水资源管理制度，建立水资源消耗总量和强度双控管理制度。湘江水资源开发利用应当符合水资源保护规划，优先满足城乡居民生活用水，兼顾农业、工业、生态环境等用水需要。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经批准的取水单位或者个人应当在取水口安装取水计量设施，严格执行计划用水，接受水行政主管部门监督管理。取水单位和个人年度取水总量超过取水许可量时，水行政主管部门应当责令其停止取水。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未经依法批准，不得在湘江新建、改建、扩建蓄水、取水工程。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在城乡公共供水管网覆盖的区域，应当使用城乡公共供排水管网取水和排水，未经审批不得从湘江河湖以及地下直接取水。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湘江水量调度应当符合湘江水资源保护规划并进行科学论证，统筹兼顾调出和调入区域的用水需求，防止对水生态环境造成破坏。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市和相关县级人民政府应当加强节水型社会建设，实施农业、工业和城乡生活节水技术改造，提高用水效率，加强节水监督，建立有利于水资源节约和合理配置的水价调控机制。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和相关县级人民政府应当建立健全非常规水源利用激励机制，加强非常规水源工程建设，鼓励社会开展非常规水源利用，提高非常规水源利用率。绿化、环卫、景观等用水应当优先使用非常规水源，提高中水回用率，采取提水补水等方式实现湘江上游水量增加、河道自净能力增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建立健全湘江水土流失预防和监督管理机制，实施生态清洁小流域建设。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湘江水源地、重要河湖功能区应当采取植树造林、封山育林、退耕还林等措施，增加森林植被覆盖，增强水源涵养能力。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湘江的水库、电站等水利工程的管理单位应当在保证防汛、抗旱的前提下，合理安排下泄水量和泄流时段，保障河流生态用水流量，维护水体自然净化能力。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已建成的水库、水电站不符合生态流量管理要求的，由水行政主管部门会同其他有关部门责令限期整改；经整改后仍不符合要求的，依法关闭并拆除。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加强湘江渔业资源保护，修建人工巢、渔礁等设施保护鱼类自然繁殖和生长，开展人工增殖放流，投放滤食性鱼类，净化天然水体，依法划定禁渔区，设立禁渔标志，实施禁渔期制度。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禁渔区、禁渔期从事捕捞或者收购、销售非法捕捞的渔获物；禁止使用炸鱼、毒鱼、电鱼等方法和小于最小网目尺寸规定的网具等渔具进行捕捞；禁止制造、销售、使用禁用的渔具以及法律、法规禁止的其他渔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禁止在湘江投放可育杂交种、转基因种和其他不符合生态要求的水生生物物种。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河湖岸线管理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建立湘江河湖岸线管理制度，依法划定河湖岸线管理范围，落实规划岸线分区管理要求，强化岸线保护和节约集约利用，严格水域岸线等水生态空间保护。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湘江河湖岸线利用管理规划，应当划定城市蓝线和河道控制线，明确岸线功能区界线并向社会公布。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湘江沿岸城镇建设空间应当结合城镇总体规划，因地制宜建设生态岸线。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对河湖岸线乱占滥用等行为应当依法整治，恢复河湖水域岸线生态功能。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湘江沿岸城乡建设活动，应当维护河道自然流向和自然形态，不得改变河道自然流向。河道整治应当采取生态护岸，保护河道洲滩，修复河流生态系统。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未经依法批准不得在湘江河湖管理范围内从事采砂、采石、取土、爆破、打井、开采地下资源或者进行考古挖掘以及法律、法规禁止的其他活动。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禁止在湘江河湖管理范围内弃置或者倾倒砂石、淤泥、渣土、煤灰、垃圾等废弃物；禁止侵占河道、围垦河湖以及法律、法规禁止的其他活动。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湘江河湖应当建立保洁责任制，明确各级河湖的保洁责任。湘江河湖水域的漂浮物、沉积物，应当及时清理和无害化处理。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在湘江城区河段以及近郊河段，禁止在河道内清洗车辆、放任饲养的动物在河内游泳等污染水体的行为。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在湘江河道控制线范围内除河道保护工程、绿化景观工程外，禁止新建建筑物、构筑物；已有建成不符合保护规划的建筑物应当逐步拆除或者搬迁至河道控制线范围之外。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在湘江河湖管理范围内修建涉水建筑物、构筑物，应当依法办理相关批准手续，符合国家规定的防洪标准和有关技术要求。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在湘江河湖管理范围内设置临时堆场以及修建临时建筑物、构筑物，应当依法取得批准。临时占用期限不得超过半年。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湘江河湖管理范围内的村寨，应当逐步搬迁或者整治。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湘江干流堤顶兼做公路的，须经县级以上地方人民政府河道主管机关批准。堤坝管理部门应当按照标准设置交通标志和防洪抢险专用通道，公安交通管理部门应当对堤顶公路实施交通安全管理。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湘江河湖管理范围内公共绿道、湿地等生态环境工程建设，应当服从防洪抢险和堤防管理要求，不得损坏堤围或者影响行洪；管理单位应当在公共绿道、湿地设置安全防护设施和警示标志。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对影响湘江河道行洪安全的废弃设施、临时设施以及残留物，根据谁设障、谁清除的原则限期拆除、清理。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湘江实行水污染防治目标责任制和水环境损害责任追究制，实现湘江水环境持续改善和良性循环。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生态环境行政主管部门应当拟定湘江水功能区划，报同级人民政府批准，并报上一级人民政府生态环境行政主管部门备案。生态环境行政主管部门应当组织对水功能区的水质状况进行检测。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湘江水质应当符合水功能区划的要求，达到出入境考核水质标准。干流、主要支流跨县（区）交界断面应当依法划定。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县级行政区交界断面水质状况应当作为湘江保护目标责任考核的重要内容。对现有水体达不到规定水质标准的区域，市和相关县级人民政府以及市新区管理机构应当制定并实施限期达标规划。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在湘江城区河段以及近郊河段沿河开展经营、娱乐活动的，应当切实采取有效措施，实现污水达标排放、垃圾集中无害化处理。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市人民政府住房与城乡建设部门应当会同生态环境、水行政主管部门组织开展湘江城市黑臭水体排查，采取有效措施整治城市黑臭水体，并定期向社会公布整治情况。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人民政府应当统筹协调湘江沿岸公共污水管网和污水集中处理设施的规划和建设。相关县级人民政府和市新区管理机构应当按照管理权限和职责分工，组织建设覆盖城乡的污水收集处理设施，加强对污水集中处理设施运营维护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污水集中处理设施的运营单位应当纳入重点排污单位进行管理，运营维护单位应当按照国家和省的有关规定运行污水处理设施、检测进出水水质，并对出水水质负责，不得擅自停运、闲置和拆除污水处理设施。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湘江沿岸城乡污水应当因地制宜采取净化措施，达到相应国家标准后回用或者就近补还湘江水体。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湘江沿岸城乡规划区建设用地内集中新建的住宅、商业用房等建设项目，应当按照雨污分流的要求进行设计和施工；未按照雨污分流要求建设的，建设单位、施工单位不得交付使用；已建老旧小区不符合雨污分流要求的，相关人民政府和市新区管理机构应当按照标准限期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城镇公共污水收集管网覆盖区域，不得向湘江水体直排生活污水，排水单位和个人应当按照国家规定将污水排入城镇排水设施。公共污水收集管网尚不能覆盖的区域，应当自行建设配套的污水处理设施，确保生活污水达标排放。向公共污水收集管网排放水污染物，应当达到截污纳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湘江沿岸新建排放重点水污染物的工业项目应当进入开发区、工业园区等工业集聚区。鼓励和引导现有工业项目入驻工业集聚区。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和相关县级人民政府以及工业集聚区管理机构应当统筹规划工业集聚区污水、固体废物处理设施建设，工业集聚区未按照规划建设污水集中处理设施、工业固体废物处理设施或者处理设施排放不达标、超总量排放的，不得建设投产新增重点水污染物排放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湘江沿岸企业事业单位和其他生产经营者应当依法建立完善环境保护责任制度，建设、完善企业污水处理设施并保持处理设施正常运行，禁止通过未经批准的排污口排放水污染物或者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在湘江设置排放水污染物的排污口应当满足受纳水体功能区划要求，不得超过国家、地方规定的水污染物排放标准和重点水污染物排放总量控制指标排放。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沿岸重点排污单位名录应当适时动态调整，并依法向社会公布。已公布的重点排污单位应当按照管理要求安装水污染物排放自动监测设备，与县级以上人民政府生态环境行政主管部门在线监控平台联网，并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鼓励排污单位通过开展清洁生产审核、技术改造等措施减少重点水污染物排放，对减少的重点水污染物排放总量控制指标依法实行有偿使用和转让制度。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禁止在湘江流域使用剧毒、高毒农药，禁止在湘江河道内丢弃农药、农药包装物或者清洗施药器械。推广使用节水农业、测土配方施肥技术和生物防治、生态控害、物理防治和理化诱控等农作物病虫害绿色防控技术；引导科学合理施用化肥、农药，对茶、果园和蔬菜、食用菌棚产生的废弃物实行集中处理，提高农膜回收率，推广可降解地膜覆盖等技术，防治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湘江沿岸县级人民政府应当科学划定畜禽养殖禁养区，禁止在禁养区新建、改建、扩建畜禽养殖场和养殖小区。禁养区内已有的畜禽养殖场、养殖小区由县级人民政府责令限期拆除，造成经济损失的，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在湘江沿岸从事畜禽养殖业应当配套建设畜禽粪污资源化利用、综合利用或者无害化处理设施，并满足环境承载能力的要求。未配套建设污染防治设施的，不得投入生产或者使用。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禁止船舶向湘江水体排放、弃置船舶污染物和废弃物；禁止在湘江水域运输国家禁止通过内河运输的剧毒化学品、危险废物以及其他危险物质。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人民政府应当组织建立船舶污染物接收、转运、处置监管联单制度，编制并发布接收、转运及处置设施建设方案。在湘江沿岸新建港口和码头，应当依法设置接收和处理船舶洗舱水、压舱水、粪便、垃圾等废弃物的设施，同步建设规范化危险物暂存设施和含油污水分离设施，残油、废油经收集后，交由有资质的单位集中处置。已有的港口、码头和装卸站未设置上述设施的，应当限期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在湘江沿岸从事地下勘探、采矿、工程降排水、地下空间开发利用等可能干扰地下含水层的活动，应当采取措施防止污染或者破坏地下水资源；输送、贮存污水或者其他废弃物应当采取防渗漏、防流失等措施。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建立湘江环境污染监测预警机制，重点污染行业的企业事业单位应当依法制定突发水环境事件应急预案，报生态环境行政主管部门备案。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湘江突发水污染事件时，相关企业事业单位应当立即采取措施处理，及时通报可能受到危害的单位和居民，并向县级以上人民政府报告。相关县级以上人民政府和市新区管理机构应当按照职责和权限立即启动水污染事故应急预案，发布安全预警通知，进行应急处置，采取有效措施治理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湘江沿岸的产业布局和产业结构调整以及城镇化建设，应当符合国家产业政策、土地利用总体规划、城镇发展规划、湘江水资源保护规划以及生态环境承载能力，服从湘江生态环境保护的需要。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禁止在湘江沿岸设置不符合国家产业政策、环境保护要求的建设项目。现有建设项目经限期整改，仍然不能实现达标排放或者不能按照总量控制要求排放的，应当依法关闭。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对湘江河湖应当定期采取截污、清淤、绿化、岸线整治、植被恢复等措施，建立水生态保护与修复的长效机制，促进水生态功能的保护和修复，提高水体净化能力。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人民政府和市新区管理机构未完成湘江年度水环境保护目标责任，以及县级人民政府和市新区管理机构主要负责人在任期内不依法履职或者怠于履行法定职责，致使本辖区湘江水环境保护目标绩效考核不能通过、辖区内湘江水环境保护目标不能实现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国家机关、国有企业事业单位及其工作人员在湘江保护工作中，有下列情形之一的，依法对相关责任人员给予处分。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（一）负有监督管理职责的部门主要责任人违法批准禁止性建设项目、违法作出行政许可、不履行或者怠于履行法定职责的；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（二）负有监督管理职责的部门执法人员不履行职责，或者滥用职权、徇私舞弊、玩忽职守的；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（三）国有企业事业单位因违反相关法律、法规受到责令停止生产建设、吊销有关证照等行政处罚的。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违反本条例第三十一条第二款规定，在湘江城区以及近郊河道内有清洗车辆、放任饲养的动物在河内游泳等污染水体行为的，由城市综合行政执法部门责令改正，拒不改正的，对个人处以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元以下罚款，对单位处以</w:t>
      </w:r>
      <w:r>
        <w:rPr>
          <w:rFonts w:hint="default" w:ascii="Times New Roman" w:hAnsi="Times New Roman" w:eastAsia="仿宋_GB2312" w:cs="Times New Roman"/>
          <w:sz w:val="32"/>
        </w:rPr>
        <w:t>500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Times New Roman" w:hAnsi="Times New Roman" w:eastAsia="仿宋_GB2312"/>
          <w:sz w:val="32"/>
        </w:rPr>
        <w:t>　违反本条例第三十二条规定，在湘江河道控制线内除河道保护工程、绿化景观工程外，新建建筑物、构筑物的，由水行政主管部门责令停止违法行为，限期拆除违法建筑物、构筑物，恢复原状；逾期不拆除、不恢复原状的，依法强行拆除，所需费用由违法单位或者个人负担，并处以</w:t>
      </w:r>
      <w:r>
        <w:rPr>
          <w:rFonts w:hint="eastAsia" w:ascii="Times New Roman" w:hAnsi="Times New Roman"/>
          <w:sz w:val="32"/>
          <w:lang w:val="en-US" w:eastAsia="zh-CN"/>
        </w:rPr>
        <w:t>1</w:t>
      </w:r>
      <w:r>
        <w:rPr>
          <w:rFonts w:ascii="Times New Roman" w:hAnsi="Times New Roman" w:eastAsia="仿宋_GB2312"/>
          <w:sz w:val="32"/>
        </w:rPr>
        <w:t>万元以上</w:t>
      </w:r>
      <w:bookmarkStart w:id="0" w:name="_GoBack"/>
      <w:bookmarkEnd w:id="0"/>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违反本条例第四十一条规定，规划区建设用地内集中新建建设项目的建设单位、施工单位将雨水管网、污水管网相互混接的，由城镇排水主管部门责令改正，并处以</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违反本条例第四十二条规定，在城镇污水收集管网覆盖的区域，排水单位和个人违规向湘江水体设置直排生活污水的或者未按照国家有关规定将污水排入城镇排水设施，在雨水污水分流地区将污水排入雨水管网的，由城镇排水主管部门责令改正，给予警告；逾期不改正或者造成严重后果的，对单位处以</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万元以下的罚款，对个人处以</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6161D4"/>
    <w:rsid w:val="16DC7373"/>
    <w:rsid w:val="283F26BC"/>
    <w:rsid w:val="341127E2"/>
    <w:rsid w:val="344634A2"/>
    <w:rsid w:val="3DE63740"/>
    <w:rsid w:val="481351D2"/>
    <w:rsid w:val="53543565"/>
    <w:rsid w:val="558A062C"/>
    <w:rsid w:val="622F12CF"/>
    <w:rsid w:val="653E08AD"/>
    <w:rsid w:val="6F1D7CAB"/>
    <w:rsid w:val="71B9247E"/>
    <w:rsid w:val="74B966E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2024-04-09T07:02:17Z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