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autoSpaceDE/>
        <w:autoSpaceDN/>
        <w:bidi w:val="0"/>
        <w:adjustRightInd/>
        <w:snapToGrid/>
        <w:spacing w:line="240" w:lineRule="auto"/>
        <w:ind w:right="0" w:rightChars="0"/>
        <w:jc w:val="both"/>
        <w:textAlignment w:val="auto"/>
        <w:rPr>
          <w:rFonts w:ascii="宋体" w:hAnsi="宋体" w:eastAsia="宋体"/>
          <w:szCs w:val="32"/>
        </w:rPr>
      </w:pPr>
    </w:p>
    <w:p>
      <w:pPr>
        <w:keepNext w:val="0"/>
        <w:keepLines w:val="0"/>
        <w:pageBreakBefore w:val="0"/>
        <w:widowControl w:val="0"/>
        <w:kinsoku/>
        <w:wordWrap/>
        <w:autoSpaceDE/>
        <w:autoSpaceDN/>
        <w:bidi w:val="0"/>
        <w:adjustRightInd/>
        <w:snapToGrid/>
        <w:spacing w:line="240" w:lineRule="auto"/>
        <w:ind w:right="0" w:rightChars="0"/>
        <w:jc w:val="both"/>
        <w:textAlignment w:val="auto"/>
        <w:rPr>
          <w:rFonts w:ascii="宋体" w:hAnsi="宋体" w:eastAsia="宋体"/>
          <w:szCs w:val="32"/>
        </w:rPr>
      </w:pPr>
    </w:p>
    <w:p>
      <w:pPr>
        <w:keepNext w:val="0"/>
        <w:keepLines w:val="0"/>
        <w:pageBreakBefore w:val="0"/>
        <w:widowControl w:val="0"/>
        <w:kinsoku/>
        <w:wordWrap/>
        <w:topLinePunct w:val="0"/>
        <w:autoSpaceDE/>
        <w:autoSpaceDN/>
        <w:bidi w:val="0"/>
        <w:adjustRightInd/>
        <w:snapToGrid/>
        <w:spacing w:line="240" w:lineRule="auto"/>
        <w:ind w:left="0" w:leftChars="0" w:right="0" w:rightChars="0" w:firstLine="0" w:firstLineChars="0"/>
        <w:jc w:val="center"/>
        <w:textAlignment w:val="auto"/>
        <w:rPr>
          <w:rFonts w:ascii="宋体" w:hAnsi="宋体" w:eastAsia="宋体"/>
          <w:i w:val="0"/>
          <w:iCs w:val="0"/>
          <w:sz w:val="44"/>
          <w:szCs w:val="44"/>
          <w:u w:val="none"/>
        </w:rPr>
      </w:pPr>
      <w:r>
        <w:rPr>
          <w:rFonts w:hint="eastAsia" w:ascii="宋体" w:hAnsi="宋体" w:eastAsia="宋体"/>
          <w:i w:val="0"/>
          <w:iCs w:val="0"/>
          <w:sz w:val="44"/>
          <w:szCs w:val="44"/>
          <w:u w:val="none"/>
        </w:rPr>
        <w:t>邵阳市地方特色食品传承与发展条例</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0" w:firstLineChars="0"/>
        <w:textAlignment w:val="auto"/>
        <w:rPr>
          <w:rFonts w:hint="eastAsia" w:asciiTheme="minorEastAsia" w:hAnsiTheme="minorEastAsia" w:eastAsiaTheme="minorEastAsia" w:cstheme="minorEastAsia"/>
          <w:b w:val="0"/>
          <w:bCs/>
          <w:color w:val="000000"/>
          <w:spacing w:val="-6"/>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auto"/>
        <w:rPr>
          <w:rFonts w:hint="default" w:ascii="Times New Roman" w:hAnsi="Times New Roman" w:eastAsia="楷体_GB2312" w:cs="Times New Roman"/>
          <w:szCs w:val="32"/>
        </w:rPr>
      </w:pPr>
      <w:r>
        <w:rPr>
          <w:rFonts w:hint="default" w:ascii="Times New Roman" w:hAnsi="Times New Roman" w:eastAsia="楷体_GB2312" w:cs="Times New Roman"/>
          <w:szCs w:val="32"/>
        </w:rPr>
        <w:t>（2022年11月24日邵阳市十七届人大常委会第五次会议通过</w:t>
      </w:r>
      <w:r>
        <w:rPr>
          <w:rFonts w:hint="default" w:ascii="Times New Roman" w:hAnsi="Times New Roman" w:eastAsia="楷体_GB2312" w:cs="Times New Roman"/>
          <w:szCs w:val="32"/>
          <w:lang w:eastAsia="zh-CN"/>
        </w:rPr>
        <w:t>　</w:t>
      </w:r>
      <w:r>
        <w:rPr>
          <w:rFonts w:hint="default" w:ascii="Times New Roman" w:hAnsi="Times New Roman" w:eastAsia="楷体_GB2312" w:cs="Times New Roman"/>
          <w:szCs w:val="32"/>
        </w:rPr>
        <w:t>2023年3月28日湖南省十四届人民代表大会常务委员会第二次会议批准）</w:t>
      </w:r>
    </w:p>
    <w:p>
      <w:pPr>
        <w:keepNext w:val="0"/>
        <w:keepLines w:val="0"/>
        <w:pageBreakBefore w:val="0"/>
        <w:widowControl w:val="0"/>
        <w:kinsoku/>
        <w:wordWrap/>
        <w:overflowPunct w:val="0"/>
        <w:autoSpaceDE/>
        <w:autoSpaceDN/>
        <w:bidi w:val="0"/>
        <w:adjustRightInd/>
        <w:snapToGrid/>
        <w:spacing w:line="240" w:lineRule="auto"/>
        <w:ind w:left="0" w:leftChars="0" w:right="0" w:rightChars="0" w:firstLine="608" w:firstLineChars="200"/>
        <w:textAlignment w:val="auto"/>
        <w:rPr>
          <w:rFonts w:hint="eastAsia" w:asciiTheme="minorEastAsia" w:hAnsiTheme="minorEastAsia" w:eastAsiaTheme="minorEastAsia" w:cstheme="minorEastAsia"/>
          <w:bCs/>
          <w:color w:val="000000"/>
          <w:spacing w:val="-6"/>
          <w:kern w:val="0"/>
          <w:szCs w:val="32"/>
        </w:rPr>
      </w:pPr>
    </w:p>
    <w:p>
      <w:pPr>
        <w:keepNext w:val="0"/>
        <w:keepLines w:val="0"/>
        <w:pageBreakBefore w:val="0"/>
        <w:widowControl w:val="0"/>
        <w:kinsoku/>
        <w:wordWrap/>
        <w:autoSpaceDE/>
        <w:autoSpaceDN/>
        <w:bidi w:val="0"/>
        <w:adjustRightInd/>
        <w:snapToGrid/>
        <w:spacing w:line="240" w:lineRule="auto"/>
        <w:ind w:left="0" w:leftChars="0" w:right="0" w:rightChars="0" w:firstLine="632" w:firstLineChars="200"/>
        <w:textAlignment w:val="auto"/>
        <w:rPr>
          <w:rFonts w:ascii="仿宋" w:hAnsi="仿宋" w:cs="仿宋"/>
          <w:bCs/>
          <w:kern w:val="0"/>
          <w:szCs w:val="32"/>
        </w:rPr>
      </w:pPr>
      <w:bookmarkStart w:id="0" w:name="TitleDescription"/>
      <w:bookmarkEnd w:id="0"/>
      <w:bookmarkStart w:id="1" w:name="AddRun"/>
      <w:bookmarkEnd w:id="1"/>
      <w:r>
        <w:rPr>
          <w:rFonts w:hint="eastAsia" w:ascii="黑体" w:hAnsi="黑体" w:eastAsia="黑体"/>
          <w:bCs/>
          <w:szCs w:val="32"/>
        </w:rPr>
        <w:t>第一</w:t>
      </w:r>
      <w:r>
        <w:rPr>
          <w:rFonts w:hint="eastAsia" w:ascii="黑体" w:hAnsi="黑体" w:eastAsia="黑体" w:cs="Times New Roman"/>
          <w:bCs/>
          <w:kern w:val="2"/>
          <w:sz w:val="32"/>
          <w:szCs w:val="32"/>
        </w:rPr>
        <w:t>条</w:t>
      </w:r>
      <w:r>
        <w:rPr>
          <w:rFonts w:hint="eastAsia" w:ascii="仿宋_GB2312" w:hAnsi="仿宋_GB2312" w:eastAsia="仿宋_GB2312" w:cs="仿宋_GB2312"/>
          <w:bCs/>
          <w:sz w:val="32"/>
          <w:szCs w:val="32"/>
          <w:lang w:eastAsia="zh-CN"/>
        </w:rPr>
        <w:t>　</w:t>
      </w:r>
      <w:r>
        <w:rPr>
          <w:rFonts w:hint="eastAsia" w:ascii="仿宋" w:hAnsi="仿宋" w:cs="仿宋"/>
          <w:bCs/>
          <w:kern w:val="0"/>
          <w:szCs w:val="32"/>
        </w:rPr>
        <w:t>为了弘扬本市传统饮食文化，传承与发展地方特色食品制作技艺，推动地方特色食品产业高质量发展，根据相关法律法规，结合本市实际，制定本条例。</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黑体" w:hAnsi="黑体" w:eastAsia="黑体" w:cs="Times New Roman"/>
          <w:bCs/>
          <w:kern w:val="2"/>
          <w:sz w:val="32"/>
          <w:szCs w:val="32"/>
        </w:rPr>
        <w:t>第二条</w:t>
      </w:r>
      <w:r>
        <w:rPr>
          <w:rFonts w:hint="eastAsia" w:ascii="仿宋_GB2312" w:hAnsi="仿宋_GB2312" w:eastAsia="仿宋_GB2312" w:cs="仿宋_GB2312"/>
          <w:bCs/>
          <w:sz w:val="32"/>
          <w:szCs w:val="32"/>
          <w:lang w:eastAsia="zh-CN"/>
        </w:rPr>
        <w:t>　</w:t>
      </w:r>
      <w:r>
        <w:rPr>
          <w:rFonts w:hint="eastAsia" w:ascii="仿宋" w:hAnsi="仿宋" w:cs="仿宋"/>
          <w:bCs/>
          <w:sz w:val="32"/>
          <w:szCs w:val="32"/>
        </w:rPr>
        <w:t>本条例适用于本行政区域内地方特色食品的文化传承、生产经营、产业发展及相关监督管理等活动。</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仿宋" w:hAnsi="仿宋" w:cs="仿宋"/>
          <w:bCs/>
          <w:sz w:val="32"/>
          <w:szCs w:val="32"/>
        </w:rPr>
        <w:t>本条例所称地方特色食品，是指反映本市饮食文化传统，使用本地传统制作技艺制作，具有一定美誉度，符合食品安全标准并被编入地方特色食品名录的食品。</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黑体" w:hAnsi="黑体" w:eastAsia="黑体" w:cs="Times New Roman"/>
          <w:bCs/>
          <w:kern w:val="2"/>
          <w:sz w:val="32"/>
          <w:szCs w:val="32"/>
        </w:rPr>
        <w:t>第三条</w:t>
      </w:r>
      <w:r>
        <w:rPr>
          <w:rFonts w:hint="eastAsia" w:ascii="仿宋_GB2312" w:hAnsi="仿宋_GB2312" w:eastAsia="仿宋_GB2312" w:cs="仿宋_GB2312"/>
          <w:bCs/>
          <w:sz w:val="32"/>
          <w:szCs w:val="32"/>
          <w:lang w:eastAsia="zh-CN"/>
        </w:rPr>
        <w:t>　</w:t>
      </w:r>
      <w:r>
        <w:rPr>
          <w:rFonts w:hint="eastAsia" w:ascii="仿宋" w:hAnsi="仿宋" w:cs="仿宋"/>
          <w:bCs/>
          <w:sz w:val="32"/>
          <w:szCs w:val="32"/>
        </w:rPr>
        <w:t>市、县（市、区）人民政府应当将地方特色食品传承与发展工作纳入本级国民经济和社会发展规划，制定地方特色食品发展扶持政策，将地方特色食品传承与发展工作所需经费列入本级财政预算。</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仿宋" w:hAnsi="仿宋" w:cs="仿宋"/>
          <w:bCs/>
          <w:sz w:val="32"/>
          <w:szCs w:val="32"/>
        </w:rPr>
        <w:t>市、县（市、区）人民政府商务主管部门负责本行政区域内地方特色食品传承与发展的监督、管理和服务工作，其他相关管理部门按照各自职责做好地方特色食品传承与发展的相关工作。</w:t>
      </w:r>
    </w:p>
    <w:p>
      <w:pPr>
        <w:keepNext w:val="0"/>
        <w:keepLines w:val="0"/>
        <w:pageBreakBefore w:val="0"/>
        <w:widowControl w:val="0"/>
        <w:kinsoku/>
        <w:wordWrap/>
        <w:autoSpaceDE/>
        <w:autoSpaceDN/>
        <w:bidi w:val="0"/>
        <w:adjustRightInd/>
        <w:snapToGrid/>
        <w:spacing w:line="240" w:lineRule="auto"/>
        <w:ind w:left="0" w:leftChars="0" w:right="0" w:rightChars="0" w:firstLine="632" w:firstLineChars="200"/>
        <w:textAlignment w:val="auto"/>
        <w:rPr>
          <w:rFonts w:ascii="仿宋" w:hAnsi="仿宋" w:cs="仿宋"/>
          <w:bCs/>
          <w:kern w:val="0"/>
          <w:szCs w:val="32"/>
        </w:rPr>
      </w:pPr>
      <w:r>
        <w:rPr>
          <w:rFonts w:hint="eastAsia" w:ascii="黑体" w:hAnsi="黑体" w:eastAsia="黑体"/>
          <w:bCs/>
          <w:szCs w:val="32"/>
        </w:rPr>
        <w:t>第四</w:t>
      </w:r>
      <w:r>
        <w:rPr>
          <w:rFonts w:hint="eastAsia" w:ascii="黑体" w:hAnsi="黑体" w:eastAsia="黑体" w:cs="Times New Roman"/>
          <w:bCs/>
          <w:kern w:val="2"/>
          <w:sz w:val="32"/>
          <w:szCs w:val="32"/>
        </w:rPr>
        <w:t>条</w:t>
      </w:r>
      <w:r>
        <w:rPr>
          <w:rFonts w:hint="eastAsia" w:ascii="仿宋_GB2312" w:hAnsi="仿宋_GB2312" w:eastAsia="仿宋_GB2312" w:cs="仿宋_GB2312"/>
          <w:bCs/>
          <w:sz w:val="32"/>
          <w:szCs w:val="32"/>
          <w:lang w:eastAsia="zh-CN"/>
        </w:rPr>
        <w:t>　</w:t>
      </w:r>
      <w:r>
        <w:rPr>
          <w:rFonts w:hint="eastAsia" w:ascii="仿宋" w:hAnsi="仿宋" w:cs="仿宋"/>
          <w:bCs/>
          <w:kern w:val="0"/>
          <w:szCs w:val="32"/>
        </w:rPr>
        <w:t>地方特色食品相关行业协会应当加强行业自律，按照章程建立健全行业规范和奖惩机制，提供食品安全信息、技术等服务，引导和督促食品生产经营者依法生产经营，推动行业诚信建设，宣传、普及食品安全知识，促进地方特色食品制作技艺的传承、创新、交流和推广，提升产品品质和行业服务水平。</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黑体" w:hAnsi="黑体" w:eastAsia="黑体" w:cs="Times New Roman"/>
          <w:bCs/>
          <w:kern w:val="2"/>
          <w:sz w:val="32"/>
          <w:szCs w:val="32"/>
        </w:rPr>
        <w:t>第五条</w:t>
      </w:r>
      <w:r>
        <w:rPr>
          <w:rFonts w:hint="eastAsia" w:ascii="仿宋_GB2312" w:hAnsi="仿宋_GB2312" w:eastAsia="仿宋_GB2312" w:cs="仿宋_GB2312"/>
          <w:bCs/>
          <w:sz w:val="32"/>
          <w:szCs w:val="32"/>
          <w:lang w:eastAsia="zh-CN"/>
        </w:rPr>
        <w:t>　</w:t>
      </w:r>
      <w:r>
        <w:rPr>
          <w:rFonts w:hint="eastAsia" w:ascii="仿宋" w:hAnsi="仿宋" w:cs="仿宋"/>
          <w:bCs/>
          <w:sz w:val="32"/>
          <w:szCs w:val="32"/>
        </w:rPr>
        <w:t>地方特色食品实行分类分级名录管理制度。市人民政府应当制定地方特色食品名录管理办法，并向社会公布。市、县（市、区）人民政府商务主管部门负责编制本行政区域地方特色食品名录。</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仿宋" w:hAnsi="仿宋" w:cs="仿宋"/>
          <w:bCs/>
          <w:sz w:val="32"/>
          <w:szCs w:val="32"/>
        </w:rPr>
        <w:t>县（市、区）人民政府商务主管部门按照以下程序编制县（市、区）地方特色食品名录：</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仿宋" w:hAnsi="仿宋" w:cs="仿宋"/>
          <w:bCs/>
          <w:sz w:val="32"/>
          <w:szCs w:val="32"/>
        </w:rPr>
        <w:t>（一）公开征集；</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仿宋" w:hAnsi="仿宋" w:cs="仿宋"/>
          <w:bCs/>
          <w:sz w:val="32"/>
          <w:szCs w:val="32"/>
        </w:rPr>
        <w:t>（二）个人或者单位推荐；</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仿宋" w:hAnsi="仿宋" w:cs="仿宋"/>
          <w:bCs/>
          <w:sz w:val="32"/>
          <w:szCs w:val="32"/>
        </w:rPr>
        <w:t>（三）收集整理并提出初步名录；</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仿宋" w:hAnsi="仿宋" w:cs="仿宋"/>
          <w:bCs/>
          <w:sz w:val="32"/>
          <w:szCs w:val="32"/>
        </w:rPr>
        <w:t>（四）实地调查并广泛征求意见；</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仿宋" w:hAnsi="仿宋" w:cs="仿宋"/>
          <w:bCs/>
          <w:sz w:val="32"/>
          <w:szCs w:val="32"/>
        </w:rPr>
        <w:t>（五）组织专家评审；</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仿宋" w:hAnsi="仿宋" w:cs="仿宋"/>
          <w:bCs/>
          <w:sz w:val="32"/>
          <w:szCs w:val="32"/>
        </w:rPr>
        <w:t>（六）公示名录草案；</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仿宋" w:hAnsi="仿宋" w:cs="仿宋"/>
          <w:bCs/>
          <w:sz w:val="32"/>
          <w:szCs w:val="32"/>
        </w:rPr>
        <w:t>（七）确定并公布名录。</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仿宋" w:hAnsi="仿宋" w:cs="仿宋"/>
          <w:bCs/>
          <w:sz w:val="32"/>
          <w:szCs w:val="32"/>
        </w:rPr>
        <w:t>市人民政府商务主管部门在县（市、区）地方特色食品名录基础上提出初步名录，依据前款规定第四项至第七项的规定编制市地方特色食品名录。</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仿宋" w:hAnsi="仿宋" w:cs="仿宋"/>
          <w:bCs/>
          <w:sz w:val="32"/>
          <w:szCs w:val="32"/>
        </w:rPr>
        <w:t>对列入名录的地方特色食品，应当编写简介，并以文字、图片、音视频等形式，记录食品及其原材料、辅助配料、制作技艺、风味特点等内容。</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黑体" w:hAnsi="黑体" w:eastAsia="黑体" w:cs="Times New Roman"/>
          <w:bCs/>
          <w:kern w:val="2"/>
          <w:sz w:val="32"/>
          <w:szCs w:val="32"/>
        </w:rPr>
        <w:t>第六条</w:t>
      </w:r>
      <w:r>
        <w:rPr>
          <w:rFonts w:hint="eastAsia" w:ascii="仿宋_GB2312" w:hAnsi="仿宋_GB2312" w:eastAsia="仿宋_GB2312" w:cs="仿宋_GB2312"/>
          <w:bCs/>
          <w:sz w:val="32"/>
          <w:szCs w:val="32"/>
          <w:lang w:eastAsia="zh-CN"/>
        </w:rPr>
        <w:t>　</w:t>
      </w:r>
      <w:r>
        <w:rPr>
          <w:rFonts w:hint="eastAsia" w:ascii="仿宋" w:hAnsi="仿宋" w:cs="仿宋"/>
          <w:bCs/>
          <w:sz w:val="32"/>
          <w:szCs w:val="32"/>
        </w:rPr>
        <w:t>市人民政府市场监督管理部门可以根据地方特色食品发展需要，依法报请省人民政府市场监督管理部门批准后，制定本市地方特色食品的制作技艺地方标准，或者报请省人民政府市场监督管理部门就本市地方特色食品的制作技艺制定地方标准。</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仿宋" w:hAnsi="仿宋" w:cs="仿宋"/>
          <w:bCs/>
          <w:sz w:val="32"/>
          <w:szCs w:val="32"/>
        </w:rPr>
        <w:t>鼓励和支持制定地方特色食品团体标准和企业标准。</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黑体" w:hAnsi="黑体" w:eastAsia="黑体" w:cs="Times New Roman"/>
          <w:bCs/>
          <w:kern w:val="2"/>
          <w:sz w:val="32"/>
          <w:szCs w:val="32"/>
        </w:rPr>
        <w:t>第七条</w:t>
      </w:r>
      <w:r>
        <w:rPr>
          <w:rFonts w:hint="eastAsia" w:ascii="仿宋_GB2312" w:hAnsi="仿宋_GB2312" w:eastAsia="仿宋_GB2312" w:cs="仿宋_GB2312"/>
          <w:bCs/>
          <w:sz w:val="32"/>
          <w:szCs w:val="32"/>
          <w:lang w:eastAsia="zh-CN"/>
        </w:rPr>
        <w:t>　</w:t>
      </w:r>
      <w:r>
        <w:rPr>
          <w:rFonts w:hint="eastAsia" w:ascii="仿宋" w:hAnsi="仿宋" w:cs="仿宋"/>
          <w:bCs/>
          <w:sz w:val="32"/>
          <w:szCs w:val="32"/>
        </w:rPr>
        <w:t>市、县（市、区）人民政府商务主管部门应当会同同级文旅广体主管部门对地方特色食品制作技艺开展调查、挖掘、整理工作，建立地方特色食品制作技艺档案及数据库。对濒临失传的地方特色食品制作技艺，应当收集有关实物或者采取其他抢救性保存措施，并进行数字化保存；对需要传承的，应当采取有效措施支持传承。</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仿宋" w:hAnsi="仿宋" w:cs="仿宋"/>
          <w:bCs/>
          <w:sz w:val="32"/>
          <w:szCs w:val="32"/>
        </w:rPr>
        <w:t>鼓励和支持地方特色食品制作技艺代表性传承人采取工作室、微视频等方法，开展线下、线上授徒等传授活动。</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仿宋" w:hAnsi="仿宋" w:cs="仿宋"/>
          <w:bCs/>
          <w:sz w:val="32"/>
          <w:szCs w:val="32"/>
        </w:rPr>
        <w:t>鼓励和支持生产经营者采用现代先进设备和技术，改进制作技艺，提高地方特色食品生产效率与质量。</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黑体" w:hAnsi="黑体" w:eastAsia="黑体" w:cs="Times New Roman"/>
          <w:bCs/>
          <w:kern w:val="2"/>
          <w:sz w:val="32"/>
          <w:szCs w:val="32"/>
        </w:rPr>
        <w:t>第八条</w:t>
      </w:r>
      <w:r>
        <w:rPr>
          <w:rFonts w:hint="eastAsia" w:ascii="仿宋_GB2312" w:hAnsi="仿宋_GB2312" w:eastAsia="仿宋_GB2312" w:cs="仿宋_GB2312"/>
          <w:bCs/>
          <w:sz w:val="32"/>
          <w:szCs w:val="32"/>
          <w:lang w:eastAsia="zh-CN"/>
        </w:rPr>
        <w:t>　</w:t>
      </w:r>
      <w:r>
        <w:rPr>
          <w:rFonts w:hint="eastAsia" w:ascii="仿宋" w:hAnsi="仿宋" w:cs="仿宋"/>
          <w:bCs/>
          <w:sz w:val="32"/>
          <w:szCs w:val="32"/>
        </w:rPr>
        <w:t>市、县（市、区）人民政府应当统筹利用各类培训资源，加强地方特色食品制作技艺、经营管理、市场营销、餐饮服务、物流配送、电子商务等方面人才培训。</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仿宋" w:hAnsi="仿宋" w:cs="仿宋"/>
          <w:bCs/>
          <w:sz w:val="32"/>
          <w:szCs w:val="32"/>
        </w:rPr>
        <w:t>鼓励和支持普通高校和职业院校开设地方特色食品相关专业课程；鼓励和支持生产经营者与高等院校、科研机构开展产学研合作。</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_GB2312"/>
          <w:bCs/>
          <w:sz w:val="32"/>
          <w:szCs w:val="32"/>
        </w:rPr>
      </w:pPr>
      <w:r>
        <w:rPr>
          <w:rFonts w:hint="eastAsia" w:ascii="仿宋" w:hAnsi="仿宋" w:cs="仿宋"/>
          <w:bCs/>
          <w:sz w:val="32"/>
          <w:szCs w:val="32"/>
        </w:rPr>
        <w:t>市、县（市、区）人民政府应当根据实际需要确定地方特色食品行业人才引进需求，加强人才引进力度并保障相应待遇。</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黑体" w:hAnsi="黑体" w:eastAsia="黑体" w:cs="Times New Roman"/>
          <w:bCs/>
          <w:kern w:val="2"/>
          <w:sz w:val="32"/>
          <w:szCs w:val="32"/>
        </w:rPr>
        <w:t>第九条</w:t>
      </w:r>
      <w:r>
        <w:rPr>
          <w:rFonts w:hint="eastAsia" w:ascii="仿宋_GB2312" w:hAnsi="仿宋_GB2312" w:eastAsia="仿宋_GB2312" w:cs="仿宋_GB2312"/>
          <w:bCs/>
          <w:sz w:val="32"/>
          <w:szCs w:val="32"/>
          <w:lang w:eastAsia="zh-CN"/>
        </w:rPr>
        <w:t>　</w:t>
      </w:r>
      <w:r>
        <w:rPr>
          <w:rFonts w:hint="eastAsia" w:ascii="仿宋" w:hAnsi="仿宋" w:cs="仿宋"/>
          <w:bCs/>
          <w:sz w:val="32"/>
          <w:szCs w:val="32"/>
        </w:rPr>
        <w:t>市、县（市、区）人民政府应当加强对地方特色食品商标、专利、商业秘密、地理标志等知识产权保护，为地方特色食品生产经营者提供知识产权保护的政策指导、技术咨询、法律咨询、信息情报等公共服务。</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_GB2312"/>
          <w:bCs/>
          <w:sz w:val="32"/>
          <w:szCs w:val="32"/>
        </w:rPr>
      </w:pPr>
      <w:r>
        <w:rPr>
          <w:rFonts w:hint="eastAsia" w:ascii="仿宋" w:hAnsi="仿宋" w:cs="仿宋"/>
          <w:bCs/>
          <w:sz w:val="32"/>
          <w:szCs w:val="32"/>
        </w:rPr>
        <w:t>市、县（市、区）人民政府市场监督管理部门应当加强对地方特色食品集体商标、证明商标、地理标志产品专用标志等使用的监督管理，依法惩处侵犯知识产权的行为。</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黑体" w:hAnsi="黑体" w:eastAsia="黑体" w:cs="Times New Roman"/>
          <w:bCs/>
          <w:kern w:val="2"/>
          <w:sz w:val="32"/>
          <w:szCs w:val="32"/>
        </w:rPr>
        <w:t>第十条</w:t>
      </w:r>
      <w:r>
        <w:rPr>
          <w:rFonts w:hint="eastAsia" w:ascii="仿宋_GB2312" w:hAnsi="仿宋_GB2312" w:eastAsia="仿宋_GB2312" w:cs="仿宋_GB2312"/>
          <w:bCs/>
          <w:sz w:val="32"/>
          <w:szCs w:val="32"/>
          <w:lang w:eastAsia="zh-CN"/>
        </w:rPr>
        <w:t>　</w:t>
      </w:r>
      <w:r>
        <w:rPr>
          <w:rFonts w:hint="eastAsia" w:ascii="仿宋" w:hAnsi="仿宋" w:cs="仿宋"/>
          <w:bCs/>
          <w:sz w:val="32"/>
          <w:szCs w:val="32"/>
        </w:rPr>
        <w:t>市、县（市、区）人民政府应当推进品牌培育服务体系建设，扶持地方特色食品拳头产品、龙头企业和优势产业的发展，加强猪血丸子、邵阳腊肉、邵阳米粉、武冈卤菜等地方特色食品品质和品牌建设，通过公益广告、媒体宣传等方式进行宣传推广。</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_GB2312"/>
          <w:bCs/>
          <w:sz w:val="32"/>
          <w:szCs w:val="32"/>
        </w:rPr>
      </w:pPr>
      <w:r>
        <w:rPr>
          <w:rFonts w:hint="eastAsia" w:ascii="仿宋" w:hAnsi="仿宋" w:cs="仿宋"/>
          <w:bCs/>
          <w:sz w:val="32"/>
          <w:szCs w:val="32"/>
        </w:rPr>
        <w:t>鼓励和支持地方特色食品生产经营者实施品牌战略，进行质量认证、商标注册，创建驰名商标，申报老字号、非物质文化遗产代表性项目及其代表性传承人。</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黑体" w:hAnsi="黑体" w:eastAsia="黑体" w:cs="Times New Roman"/>
          <w:bCs/>
          <w:kern w:val="2"/>
          <w:sz w:val="32"/>
          <w:szCs w:val="32"/>
        </w:rPr>
        <w:t>第十一条</w:t>
      </w:r>
      <w:r>
        <w:rPr>
          <w:rFonts w:hint="eastAsia" w:ascii="仿宋_GB2312" w:hAnsi="仿宋_GB2312" w:eastAsia="仿宋_GB2312" w:cs="仿宋_GB2312"/>
          <w:bCs/>
          <w:sz w:val="32"/>
          <w:szCs w:val="32"/>
          <w:lang w:eastAsia="zh-CN"/>
        </w:rPr>
        <w:t>　</w:t>
      </w:r>
      <w:r>
        <w:rPr>
          <w:rFonts w:hint="eastAsia" w:ascii="仿宋" w:hAnsi="仿宋" w:cs="仿宋"/>
          <w:bCs/>
          <w:sz w:val="32"/>
          <w:szCs w:val="32"/>
        </w:rPr>
        <w:t>市、县（市、区）人民政府应当优化地方特色食品产业布局，规划建设上游食材示范基地、地方特色食品产业园，引导生产经营者和上下游供应链入驻产业园，推动产业资源要素集聚。</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仿宋" w:hAnsi="仿宋" w:cs="仿宋"/>
          <w:bCs/>
          <w:sz w:val="32"/>
          <w:szCs w:val="32"/>
        </w:rPr>
        <w:t>鼓励和支持立足地域特色、符合商业规律的美食乡（镇）、美食街建设。</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黑体" w:hAnsi="黑体" w:eastAsia="黑体" w:cs="Times New Roman"/>
          <w:bCs/>
          <w:kern w:val="2"/>
          <w:sz w:val="32"/>
          <w:szCs w:val="32"/>
        </w:rPr>
        <w:t>第十二条</w:t>
      </w:r>
      <w:r>
        <w:rPr>
          <w:rFonts w:hint="eastAsia" w:ascii="仿宋_GB2312" w:hAnsi="仿宋_GB2312" w:eastAsia="仿宋_GB2312" w:cs="仿宋_GB2312"/>
          <w:bCs/>
          <w:sz w:val="32"/>
          <w:szCs w:val="32"/>
          <w:lang w:eastAsia="zh-CN"/>
        </w:rPr>
        <w:t>　</w:t>
      </w:r>
      <w:r>
        <w:rPr>
          <w:rFonts w:hint="eastAsia" w:ascii="仿宋" w:hAnsi="仿宋" w:cs="仿宋"/>
          <w:bCs/>
          <w:sz w:val="32"/>
          <w:szCs w:val="32"/>
        </w:rPr>
        <w:t>市、县（市、区）人民政府应当建立电商集聚区，有条件的可以建立电商园。鼓励和支持地方特色食品经营者入驻电商集聚区或者电商园。</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仿宋" w:hAnsi="仿宋" w:cs="仿宋"/>
          <w:bCs/>
          <w:sz w:val="32"/>
          <w:szCs w:val="32"/>
        </w:rPr>
        <w:t>市、县（市、区）人民政府应当与电商平台建立合作关系，支持地方特色食品电商建设、发展和推广。</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仿宋" w:hAnsi="仿宋" w:cs="仿宋"/>
          <w:bCs/>
          <w:sz w:val="32"/>
          <w:szCs w:val="32"/>
        </w:rPr>
        <w:t>市、县（市、区）人民政府商务主管部门应当指导地方特色食品经营者通过网络进行销售。</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黑体" w:hAnsi="黑体" w:eastAsia="黑体" w:cs="Times New Roman"/>
          <w:bCs/>
          <w:kern w:val="2"/>
          <w:sz w:val="32"/>
          <w:szCs w:val="32"/>
        </w:rPr>
        <w:t>第十三条</w:t>
      </w:r>
      <w:r>
        <w:rPr>
          <w:rFonts w:hint="eastAsia" w:ascii="仿宋_GB2312" w:hAnsi="仿宋_GB2312" w:eastAsia="仿宋_GB2312" w:cs="仿宋_GB2312"/>
          <w:bCs/>
          <w:sz w:val="32"/>
          <w:szCs w:val="32"/>
          <w:lang w:eastAsia="zh-CN"/>
        </w:rPr>
        <w:t>　</w:t>
      </w:r>
      <w:r>
        <w:rPr>
          <w:rFonts w:hint="eastAsia" w:ascii="仿宋" w:hAnsi="仿宋" w:cs="仿宋"/>
          <w:bCs/>
          <w:sz w:val="32"/>
          <w:szCs w:val="32"/>
        </w:rPr>
        <w:t>市、县（市、区）人民政府应当合理规划物流基础设施的布局，加大冷链等物流基础设施建设投入，采取有效措施降低地方特色食品运输费用，缩短在途时长。</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仿宋" w:hAnsi="仿宋" w:cs="仿宋"/>
          <w:bCs/>
          <w:sz w:val="32"/>
          <w:szCs w:val="32"/>
        </w:rPr>
        <w:t>鼓励和支持大型物流、快递企业在本市建设仓储、转运、分拣中心。</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黑体" w:hAnsi="黑体" w:eastAsia="黑体" w:cs="Times New Roman"/>
          <w:bCs/>
          <w:kern w:val="2"/>
          <w:sz w:val="32"/>
          <w:szCs w:val="32"/>
        </w:rPr>
        <w:t>第十四条</w:t>
      </w:r>
      <w:r>
        <w:rPr>
          <w:rFonts w:hint="eastAsia" w:ascii="仿宋_GB2312" w:hAnsi="仿宋_GB2312" w:eastAsia="仿宋_GB2312" w:cs="仿宋_GB2312"/>
          <w:bCs/>
          <w:sz w:val="32"/>
          <w:szCs w:val="32"/>
          <w:lang w:eastAsia="zh-CN"/>
        </w:rPr>
        <w:t>　</w:t>
      </w:r>
      <w:r>
        <w:rPr>
          <w:rFonts w:hint="eastAsia" w:ascii="仿宋" w:hAnsi="仿宋" w:cs="仿宋"/>
          <w:bCs/>
          <w:sz w:val="32"/>
          <w:szCs w:val="32"/>
        </w:rPr>
        <w:t>市、县（市、区）人民政府应当推进地方特色食品行业与文旅行业融合交流，支持和引导生产经营者利用地方特色食品生产基地开发工业旅游、生态园、休闲农庄等旅游项目。</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仿宋" w:hAnsi="仿宋" w:cs="仿宋"/>
          <w:bCs/>
          <w:sz w:val="32"/>
          <w:szCs w:val="32"/>
        </w:rPr>
        <w:t>市、县（市、区）人民政府文旅广体部门应当会同商务等部门，支持和引导文旅企业与地方特色食品生产经营者开展合作，建设集地方特色食品餐饮娱乐、文化创意、交流合作等功能于一体的地方特色食品展示场馆。</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仿宋" w:hAnsi="仿宋" w:cs="仿宋"/>
          <w:bCs/>
          <w:sz w:val="32"/>
          <w:szCs w:val="32"/>
        </w:rPr>
        <w:t>鼓励和支持南山国家公园、</w:t>
      </w:r>
      <w:r>
        <w:rPr>
          <w:rFonts w:hint="eastAsia" w:cs="仿宋" w:asciiTheme="minorEastAsia" w:hAnsiTheme="minorEastAsia" w:eastAsiaTheme="minorEastAsia"/>
          <w:bCs/>
          <w:sz w:val="32"/>
          <w:szCs w:val="32"/>
        </w:rPr>
        <w:t>崀</w:t>
      </w:r>
      <w:r>
        <w:rPr>
          <w:rFonts w:hint="eastAsia" w:ascii="仿宋" w:hAnsi="仿宋" w:cs="仿宋"/>
          <w:bCs/>
          <w:sz w:val="32"/>
          <w:szCs w:val="32"/>
        </w:rPr>
        <w:t>山风景名胜区等景区制定并实施地方特色食品店铺布点规划。</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仿宋" w:hAnsi="仿宋" w:cs="仿宋"/>
          <w:bCs/>
          <w:sz w:val="32"/>
          <w:szCs w:val="32"/>
        </w:rPr>
        <w:t>市、县（市、区）人民政府商务主管部门应当定期举办美食节活动；鼓励和支持结合邵商大会、六六山歌节、四八姑娘节等活动推介地方特色食品。</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_GB2312"/>
          <w:bCs/>
          <w:sz w:val="32"/>
          <w:szCs w:val="32"/>
        </w:rPr>
      </w:pPr>
      <w:r>
        <w:rPr>
          <w:rFonts w:hint="eastAsia" w:ascii="仿宋" w:hAnsi="仿宋" w:cs="仿宋"/>
          <w:bCs/>
          <w:sz w:val="32"/>
          <w:szCs w:val="32"/>
        </w:rPr>
        <w:t>市、县（市、区）人民政府应当组织地方特色食品制作技能比赛，组织名厨、名师、名菜、名品评选等活动；鼓励和支持参加国际国内美食节、比赛等交流活动。</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黑体" w:hAnsi="黑体" w:eastAsia="黑体" w:cs="Times New Roman"/>
          <w:bCs/>
          <w:kern w:val="2"/>
          <w:sz w:val="32"/>
          <w:szCs w:val="32"/>
        </w:rPr>
        <w:t>第十五条</w:t>
      </w:r>
      <w:r>
        <w:rPr>
          <w:rFonts w:hint="eastAsia" w:ascii="仿宋_GB2312" w:hAnsi="仿宋_GB2312" w:eastAsia="仿宋_GB2312" w:cs="仿宋_GB2312"/>
          <w:bCs/>
          <w:sz w:val="32"/>
          <w:szCs w:val="32"/>
          <w:lang w:eastAsia="zh-CN"/>
        </w:rPr>
        <w:t>　</w:t>
      </w:r>
      <w:r>
        <w:rPr>
          <w:rFonts w:hint="eastAsia" w:ascii="仿宋" w:hAnsi="仿宋" w:cs="仿宋"/>
          <w:bCs/>
          <w:sz w:val="32"/>
          <w:szCs w:val="32"/>
        </w:rPr>
        <w:t>市、县（市、区）人民政府应当执行国家和省有关财税、金融等政策措施，促进地方特色食品产业可持续发展。</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cs="仿宋"/>
          <w:bCs/>
          <w:sz w:val="32"/>
          <w:szCs w:val="32"/>
        </w:rPr>
      </w:pPr>
      <w:r>
        <w:rPr>
          <w:rFonts w:hint="eastAsia" w:ascii="仿宋" w:hAnsi="仿宋" w:cs="仿宋"/>
          <w:bCs/>
          <w:sz w:val="32"/>
          <w:szCs w:val="32"/>
        </w:rPr>
        <w:t>鼓励金融机构开发、创新适合地方特色食品产业发展的金融产品和服务，增加对地方特色食品生产经营活动的信贷投入。</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_GB2312"/>
          <w:bCs/>
          <w:sz w:val="32"/>
          <w:szCs w:val="32"/>
        </w:rPr>
      </w:pPr>
      <w:r>
        <w:rPr>
          <w:rFonts w:hint="eastAsia" w:ascii="仿宋" w:hAnsi="仿宋" w:cs="仿宋"/>
          <w:bCs/>
          <w:sz w:val="32"/>
          <w:szCs w:val="32"/>
        </w:rPr>
        <w:t>鼓励保险机构做好地方特色食品食材种植、养殖等生产灾害保险服务，引导生产经营者参加相关保险。</w:t>
      </w:r>
    </w:p>
    <w:p>
      <w:pPr>
        <w:keepNext w:val="0"/>
        <w:keepLines w:val="0"/>
        <w:pageBreakBefore w:val="0"/>
        <w:widowControl w:val="0"/>
        <w:kinsoku/>
        <w:wordWrap/>
        <w:autoSpaceDE/>
        <w:autoSpaceDN/>
        <w:bidi w:val="0"/>
        <w:adjustRightInd/>
        <w:snapToGrid/>
        <w:spacing w:line="240" w:lineRule="auto"/>
        <w:ind w:left="0" w:leftChars="0" w:right="0" w:rightChars="0" w:firstLine="632" w:firstLineChars="200"/>
        <w:textAlignment w:val="auto"/>
        <w:rPr>
          <w:rFonts w:ascii="仿宋" w:hAnsi="仿宋" w:cs="仿宋"/>
          <w:bCs/>
          <w:kern w:val="0"/>
          <w:szCs w:val="32"/>
        </w:rPr>
      </w:pPr>
      <w:r>
        <w:rPr>
          <w:rFonts w:hint="eastAsia" w:ascii="黑体" w:hAnsi="黑体" w:eastAsia="黑体"/>
          <w:bCs/>
          <w:szCs w:val="32"/>
        </w:rPr>
        <w:t>第十六</w:t>
      </w:r>
      <w:r>
        <w:rPr>
          <w:rFonts w:hint="eastAsia" w:ascii="黑体" w:hAnsi="黑体" w:eastAsia="黑体" w:cs="Times New Roman"/>
          <w:bCs/>
          <w:kern w:val="2"/>
          <w:sz w:val="32"/>
          <w:szCs w:val="32"/>
        </w:rPr>
        <w:t>条</w:t>
      </w:r>
      <w:r>
        <w:rPr>
          <w:rFonts w:hint="eastAsia" w:ascii="仿宋_GB2312" w:hAnsi="仿宋_GB2312" w:eastAsia="仿宋_GB2312" w:cs="仿宋_GB2312"/>
          <w:bCs/>
          <w:sz w:val="32"/>
          <w:szCs w:val="32"/>
          <w:lang w:eastAsia="zh-CN"/>
        </w:rPr>
        <w:t>　</w:t>
      </w:r>
      <w:r>
        <w:rPr>
          <w:rFonts w:hint="eastAsia" w:ascii="仿宋" w:hAnsi="仿宋" w:cs="仿宋"/>
          <w:bCs/>
          <w:kern w:val="0"/>
          <w:szCs w:val="32"/>
        </w:rPr>
        <w:t>市、县（市、区）人民政府市场监督管理部门应当指导、督促生产经营者建立地方特色食品质量安全追溯体系。</w:t>
      </w:r>
    </w:p>
    <w:p>
      <w:pPr>
        <w:pStyle w:val="30"/>
        <w:keepNext w:val="0"/>
        <w:keepLines w:val="0"/>
        <w:pageBreakBefore w:val="0"/>
        <w:widowControl w:val="0"/>
        <w:kinsoku/>
        <w:wordWrap/>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_GB2312" w:hAnsi="Calibri" w:cs="Times New Roman"/>
          <w:kern w:val="2"/>
          <w:sz w:val="32"/>
          <w:szCs w:val="32"/>
        </w:rPr>
      </w:pPr>
      <w:r>
        <w:rPr>
          <w:rFonts w:hint="eastAsia" w:ascii="黑体" w:hAnsi="黑体" w:eastAsia="黑体" w:cs="Times New Roman"/>
          <w:bCs/>
          <w:kern w:val="2"/>
          <w:sz w:val="32"/>
          <w:szCs w:val="32"/>
        </w:rPr>
        <w:t>第十七条</w:t>
      </w:r>
      <w:r>
        <w:rPr>
          <w:rFonts w:hint="eastAsia" w:ascii="仿宋_GB2312" w:hAnsi="仿宋_GB2312" w:eastAsia="仿宋_GB2312" w:cs="仿宋_GB2312"/>
          <w:bCs/>
          <w:sz w:val="32"/>
          <w:szCs w:val="32"/>
          <w:lang w:eastAsia="zh-CN"/>
        </w:rPr>
        <w:t>　</w:t>
      </w:r>
      <w:r>
        <w:rPr>
          <w:rFonts w:hint="eastAsia" w:ascii="仿宋_GB2312" w:hAnsi="Calibri" w:cs="Times New Roman"/>
          <w:kern w:val="2"/>
          <w:sz w:val="32"/>
          <w:szCs w:val="32"/>
        </w:rPr>
        <w:t>本条例</w:t>
      </w:r>
      <w:r>
        <w:rPr>
          <w:rFonts w:hint="default" w:ascii="Times New Roman" w:hAnsi="Times New Roman" w:cs="Times New Roman"/>
          <w:kern w:val="2"/>
          <w:sz w:val="32"/>
          <w:szCs w:val="32"/>
        </w:rPr>
        <w:t>自2023</w:t>
      </w:r>
      <w:bookmarkStart w:id="2" w:name="_GoBack"/>
      <w:bookmarkEnd w:id="2"/>
      <w:r>
        <w:rPr>
          <w:rFonts w:hint="default" w:ascii="Times New Roman" w:hAnsi="Times New Roman" w:cs="Times New Roman"/>
          <w:kern w:val="2"/>
          <w:sz w:val="32"/>
          <w:szCs w:val="32"/>
        </w:rPr>
        <w:t>年6月1日</w:t>
      </w:r>
      <w:r>
        <w:rPr>
          <w:rFonts w:hint="eastAsia" w:ascii="仿宋_GB2312" w:hAnsi="Calibri" w:cs="Times New Roman"/>
          <w:kern w:val="2"/>
          <w:sz w:val="32"/>
          <w:szCs w:val="32"/>
        </w:rPr>
        <w:t>起施行。</w:t>
      </w:r>
    </w:p>
    <w:p>
      <w:pPr>
        <w:keepNext w:val="0"/>
        <w:keepLines w:val="0"/>
        <w:pageBreakBefore w:val="0"/>
        <w:widowControl w:val="0"/>
        <w:kinsoku/>
        <w:wordWrap/>
        <w:autoSpaceDE/>
        <w:autoSpaceDN/>
        <w:bidi w:val="0"/>
        <w:adjustRightInd/>
        <w:snapToGrid/>
        <w:spacing w:line="240" w:lineRule="auto"/>
        <w:ind w:left="0" w:leftChars="0" w:right="0" w:rightChars="0" w:firstLine="632" w:firstLineChars="200"/>
        <w:textAlignment w:val="auto"/>
        <w:rPr>
          <w:rFonts w:hint="eastAsia"/>
        </w:rPr>
      </w:pP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E067F287-7432-4300-BCEB-74EEFEBBBB32}"/>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embedRegular r:id="rId2" w:fontKey="{D3D09D92-3E43-490A-9ABA-30999E584FE2}"/>
  </w:font>
  <w:font w:name="仿宋_GB2312">
    <w:panose1 w:val="02010609030101010101"/>
    <w:charset w:val="86"/>
    <w:family w:val="auto"/>
    <w:pitch w:val="default"/>
    <w:sig w:usb0="00000001" w:usb1="080E0000" w:usb2="00000000" w:usb3="00000000" w:csb0="00040000" w:csb1="00000000"/>
    <w:embedRegular r:id="rId3" w:fontKey="{8F88A344-7116-45C5-AC59-9325BFEF42C5}"/>
  </w:font>
  <w:font w:name="方正楷体简体">
    <w:altName w:val="楷体_GB2312"/>
    <w:panose1 w:val="02010601030101010101"/>
    <w:charset w:val="86"/>
    <w:family w:val="script"/>
    <w:pitch w:val="default"/>
    <w:sig w:usb0="00000000" w:usb1="00000000" w:usb2="00000000" w:usb3="00000000" w:csb0="00040000" w:csb1="00000000"/>
  </w:font>
  <w:font w:name="方正小标宋简体">
    <w:altName w:val="Arial Unicode MS"/>
    <w:panose1 w:val="02000000000000000000"/>
    <w:charset w:val="86"/>
    <w:family w:val="auto"/>
    <w:pitch w:val="default"/>
    <w:sig w:usb0="00000000" w:usb1="00000000" w:usb2="00000012"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方正仿宋_GBK">
    <w:altName w:val="Arial Unicode MS"/>
    <w:panose1 w:val="02000000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embedRegular r:id="rId4" w:fontKey="{5C229A7D-08B9-40C5-8749-474027B28C92}"/>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modern"/>
    <w:pitch w:val="default"/>
    <w:sig w:usb0="800002BF" w:usb1="38CF7CFA" w:usb2="00000016" w:usb3="00000000" w:csb0="00040001" w:csb1="00000000"/>
    <w:embedRegular r:id="rId5" w:fontKey="{CDA96D31-5095-4028-83B3-C84C7A529493}"/>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5"/>
    <w:multiLevelType w:val="multilevel"/>
    <w:tmpl w:val="00000005"/>
    <w:lvl w:ilvl="0" w:tentative="0">
      <w:start w:val="1"/>
      <w:numFmt w:val="japaneseCounting"/>
      <w:lvlText w:val="第%1章"/>
      <w:lvlJc w:val="left"/>
      <w:pPr>
        <w:ind w:left="1320" w:hanging="1320"/>
      </w:pPr>
      <w:rPr>
        <w:rFonts w:hint="default"/>
      </w:rPr>
    </w:lvl>
    <w:lvl w:ilvl="1" w:tentative="0">
      <w:start w:val="1"/>
      <w:numFmt w:val="lowerLetter"/>
      <w:pStyle w:val="7"/>
      <w:lvlText w:val="%2)"/>
      <w:lvlJc w:val="left"/>
      <w:pPr>
        <w:ind w:left="1697" w:hanging="420"/>
      </w:pPr>
      <w:rPr>
        <w:b w:val="0"/>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9"/>
  <w:embedTrueTypeFonts/>
  <w:saveSubsetFonts/>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457A2C"/>
    <w:rsid w:val="074E5322"/>
    <w:rsid w:val="09A34AE0"/>
    <w:rsid w:val="0A2C751F"/>
    <w:rsid w:val="0B260413"/>
    <w:rsid w:val="0D9804AC"/>
    <w:rsid w:val="0E834297"/>
    <w:rsid w:val="116E2B13"/>
    <w:rsid w:val="157E709D"/>
    <w:rsid w:val="16020721"/>
    <w:rsid w:val="162B4B2F"/>
    <w:rsid w:val="16937BA5"/>
    <w:rsid w:val="19C07C84"/>
    <w:rsid w:val="19E53768"/>
    <w:rsid w:val="1D1800F3"/>
    <w:rsid w:val="1E085DDD"/>
    <w:rsid w:val="21EF7456"/>
    <w:rsid w:val="2431204A"/>
    <w:rsid w:val="25744294"/>
    <w:rsid w:val="2C377D1A"/>
    <w:rsid w:val="2D7E49BF"/>
    <w:rsid w:val="2E814420"/>
    <w:rsid w:val="31EF4857"/>
    <w:rsid w:val="347A3607"/>
    <w:rsid w:val="350C70EE"/>
    <w:rsid w:val="368340BC"/>
    <w:rsid w:val="36965B9D"/>
    <w:rsid w:val="38AD5420"/>
    <w:rsid w:val="39D14AE0"/>
    <w:rsid w:val="3B8B4C6A"/>
    <w:rsid w:val="3C460065"/>
    <w:rsid w:val="3DA310DF"/>
    <w:rsid w:val="3DE63740"/>
    <w:rsid w:val="3FAE701D"/>
    <w:rsid w:val="43FB5812"/>
    <w:rsid w:val="44421112"/>
    <w:rsid w:val="455E224D"/>
    <w:rsid w:val="48014AA3"/>
    <w:rsid w:val="481351D2"/>
    <w:rsid w:val="48800A20"/>
    <w:rsid w:val="4DB36BDD"/>
    <w:rsid w:val="4DDA6BF5"/>
    <w:rsid w:val="4FD13278"/>
    <w:rsid w:val="52B0523E"/>
    <w:rsid w:val="53543565"/>
    <w:rsid w:val="53C25DCC"/>
    <w:rsid w:val="53EF6F5B"/>
    <w:rsid w:val="5477195C"/>
    <w:rsid w:val="55364483"/>
    <w:rsid w:val="558A062C"/>
    <w:rsid w:val="55D77440"/>
    <w:rsid w:val="5E096847"/>
    <w:rsid w:val="5E421FE3"/>
    <w:rsid w:val="61B336CF"/>
    <w:rsid w:val="622F12CF"/>
    <w:rsid w:val="64103DA1"/>
    <w:rsid w:val="64F46001"/>
    <w:rsid w:val="666756D4"/>
    <w:rsid w:val="67265295"/>
    <w:rsid w:val="6C2D6920"/>
    <w:rsid w:val="6C877877"/>
    <w:rsid w:val="7018252A"/>
    <w:rsid w:val="70681DA7"/>
    <w:rsid w:val="72F625E1"/>
    <w:rsid w:val="73B85322"/>
    <w:rsid w:val="775E649E"/>
    <w:rsid w:val="77940AC5"/>
    <w:rsid w:val="7CCB7772"/>
    <w:rsid w:val="7F806F9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qFormat="1" w:unhideWhenUsed="0" w:uiPriority="0" w:semiHidden="0"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qFormat="1" w:uiPriority="39" w:semiHidden="0" w:name="toc 7"/>
    <w:lsdException w:uiPriority="39" w:name="toc 8"/>
    <w:lsdException w:uiPriority="39" w:name="toc 9"/>
    <w:lsdException w:qFormat="1" w:uiPriority="99"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nhideWhenUsed="0" w:uiPriority="99" w:semiHidden="0"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5">
    <w:name w:val="heading 1"/>
    <w:basedOn w:val="1"/>
    <w:next w:val="1"/>
    <w:qFormat/>
    <w:uiPriority w:val="9"/>
    <w:pPr>
      <w:outlineLvl w:val="0"/>
    </w:pPr>
    <w:rPr>
      <w:rFonts w:eastAsia="方正楷体简体"/>
      <w:b/>
      <w:bCs/>
      <w:kern w:val="44"/>
      <w:szCs w:val="44"/>
    </w:rPr>
  </w:style>
  <w:style w:type="paragraph" w:styleId="6">
    <w:name w:val="heading 2"/>
    <w:basedOn w:val="1"/>
    <w:next w:val="1"/>
    <w:qFormat/>
    <w:uiPriority w:val="0"/>
    <w:pPr>
      <w:widowControl/>
      <w:spacing w:before="100" w:beforeAutospacing="1" w:after="100" w:afterAutospacing="1"/>
      <w:jc w:val="left"/>
      <w:outlineLvl w:val="1"/>
    </w:pPr>
    <w:rPr>
      <w:rFonts w:ascii="宋体" w:hAnsi="宋体" w:cs="宋体"/>
      <w:b/>
      <w:bCs/>
      <w:sz w:val="36"/>
      <w:szCs w:val="36"/>
    </w:rPr>
  </w:style>
  <w:style w:type="paragraph" w:styleId="7">
    <w:name w:val="heading 3"/>
    <w:basedOn w:val="1"/>
    <w:next w:val="1"/>
    <w:qFormat/>
    <w:uiPriority w:val="0"/>
    <w:pPr>
      <w:keepNext/>
      <w:keepLines/>
      <w:numPr>
        <w:ilvl w:val="1"/>
        <w:numId w:val="1"/>
      </w:numPr>
      <w:tabs>
        <w:tab w:val="left" w:pos="360"/>
      </w:tabs>
      <w:spacing w:before="260" w:after="260" w:line="413" w:lineRule="auto"/>
      <w:outlineLvl w:val="2"/>
    </w:pPr>
    <w:rPr>
      <w:rFonts w:eastAsia="宋体"/>
      <w:b/>
      <w:szCs w:val="20"/>
    </w:rPr>
  </w:style>
  <w:style w:type="character" w:default="1" w:styleId="21">
    <w:name w:val="Default Paragraph Font"/>
    <w:unhideWhenUsed/>
    <w:qFormat/>
    <w:uiPriority w:val="1"/>
  </w:style>
  <w:style w:type="table" w:default="1" w:styleId="20">
    <w:name w:val="Normal Table"/>
    <w:unhideWhenUsed/>
    <w:qFormat/>
    <w:uiPriority w:val="99"/>
    <w:tblPr>
      <w:tblCellMar>
        <w:top w:w="0" w:type="dxa"/>
        <w:left w:w="108" w:type="dxa"/>
        <w:bottom w:w="0" w:type="dxa"/>
        <w:right w:w="108" w:type="dxa"/>
      </w:tblCellMar>
    </w:tblPr>
  </w:style>
  <w:style w:type="paragraph" w:styleId="2">
    <w:name w:val="Body Text First Indent 2"/>
    <w:basedOn w:val="3"/>
    <w:next w:val="1"/>
    <w:qFormat/>
    <w:uiPriority w:val="0"/>
    <w:pPr>
      <w:ind w:firstLine="210"/>
    </w:pPr>
    <w:rPr>
      <w:rFonts w:eastAsia="宋体"/>
      <w:kern w:val="2"/>
      <w:szCs w:val="24"/>
    </w:rPr>
  </w:style>
  <w:style w:type="paragraph" w:styleId="3">
    <w:name w:val="Body Text Indent"/>
    <w:basedOn w:val="1"/>
    <w:next w:val="4"/>
    <w:qFormat/>
    <w:uiPriority w:val="99"/>
    <w:pPr>
      <w:spacing w:after="120"/>
      <w:ind w:left="420" w:leftChars="200"/>
    </w:pPr>
  </w:style>
  <w:style w:type="paragraph" w:styleId="4">
    <w:name w:val="Normal Indent"/>
    <w:basedOn w:val="1"/>
    <w:next w:val="1"/>
    <w:unhideWhenUsed/>
    <w:qFormat/>
    <w:uiPriority w:val="99"/>
    <w:pPr>
      <w:ind w:firstLine="420"/>
    </w:pPr>
  </w:style>
  <w:style w:type="paragraph" w:styleId="8">
    <w:name w:val="toc 7"/>
    <w:basedOn w:val="1"/>
    <w:next w:val="1"/>
    <w:unhideWhenUsed/>
    <w:qFormat/>
    <w:uiPriority w:val="39"/>
    <w:pPr>
      <w:ind w:left="2520" w:leftChars="1200"/>
    </w:pPr>
  </w:style>
  <w:style w:type="paragraph" w:styleId="9">
    <w:name w:val="annotation text"/>
    <w:basedOn w:val="1"/>
    <w:semiHidden/>
    <w:unhideWhenUsed/>
    <w:qFormat/>
    <w:uiPriority w:val="99"/>
    <w:pPr>
      <w:jc w:val="left"/>
    </w:pPr>
  </w:style>
  <w:style w:type="paragraph" w:styleId="10">
    <w:name w:val="Salutation"/>
    <w:next w:val="1"/>
    <w:qFormat/>
    <w:uiPriority w:val="99"/>
    <w:pPr>
      <w:widowControl w:val="0"/>
      <w:jc w:val="both"/>
    </w:pPr>
    <w:rPr>
      <w:rFonts w:ascii="宋体" w:hAnsi="Times New Roman" w:eastAsia="宋体" w:cs="Times New Roman"/>
      <w:kern w:val="2"/>
      <w:sz w:val="32"/>
      <w:szCs w:val="32"/>
      <w:lang w:val="en-US" w:eastAsia="zh-CN" w:bidi="ar-SA"/>
    </w:rPr>
  </w:style>
  <w:style w:type="paragraph" w:styleId="11">
    <w:name w:val="Body Text"/>
    <w:basedOn w:val="1"/>
    <w:next w:val="12"/>
    <w:unhideWhenUsed/>
    <w:qFormat/>
    <w:uiPriority w:val="99"/>
    <w:rPr>
      <w:rFonts w:eastAsia="宋体"/>
      <w:szCs w:val="20"/>
    </w:rPr>
  </w:style>
  <w:style w:type="paragraph" w:styleId="12">
    <w:name w:val="Body Text First Indent"/>
    <w:basedOn w:val="11"/>
    <w:qFormat/>
    <w:uiPriority w:val="0"/>
    <w:pPr>
      <w:ind w:firstLine="420" w:firstLineChars="100"/>
    </w:pPr>
    <w:rPr>
      <w:rFonts w:ascii="Calibri" w:hAnsi="Calibri" w:cs="Calibri"/>
      <w:szCs w:val="21"/>
    </w:rPr>
  </w:style>
  <w:style w:type="paragraph" w:styleId="13">
    <w:name w:val="footer"/>
    <w:basedOn w:val="1"/>
    <w:link w:val="24"/>
    <w:unhideWhenUsed/>
    <w:qFormat/>
    <w:uiPriority w:val="99"/>
    <w:pPr>
      <w:tabs>
        <w:tab w:val="center" w:pos="4153"/>
        <w:tab w:val="right" w:pos="8306"/>
      </w:tabs>
      <w:snapToGrid w:val="0"/>
      <w:jc w:val="left"/>
    </w:pPr>
    <w:rPr>
      <w:sz w:val="18"/>
      <w:szCs w:val="18"/>
    </w:rPr>
  </w:style>
  <w:style w:type="paragraph" w:styleId="14">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0"/>
    <w:pPr>
      <w:snapToGrid w:val="0"/>
      <w:spacing w:line="640" w:lineRule="exact"/>
      <w:ind w:firstLine="705"/>
    </w:pPr>
    <w:rPr>
      <w:rFonts w:ascii="仿宋_GB2312"/>
      <w:color w:val="000000"/>
      <w:sz w:val="36"/>
      <w:szCs w:val="36"/>
    </w:rPr>
  </w:style>
  <w:style w:type="paragraph" w:styleId="16">
    <w:name w:val="index 7"/>
    <w:basedOn w:val="1"/>
    <w:next w:val="1"/>
    <w:qFormat/>
    <w:uiPriority w:val="0"/>
    <w:pPr>
      <w:spacing w:line="576" w:lineRule="exact"/>
      <w:ind w:left="1200" w:leftChars="1200" w:firstLine="880" w:firstLineChars="200"/>
    </w:pPr>
    <w:rPr>
      <w:rFonts w:ascii="宋体" w:hAnsi="宋体" w:eastAsia="仿宋_GB2312"/>
      <w:sz w:val="32"/>
      <w:szCs w:val="24"/>
    </w:rPr>
  </w:style>
  <w:style w:type="paragraph" w:styleId="1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Times New Roman"/>
      <w:color w:val="000000"/>
      <w:kern w:val="0"/>
      <w:sz w:val="24"/>
      <w:lang w:eastAsia="zh-CN"/>
    </w:rPr>
  </w:style>
  <w:style w:type="paragraph" w:styleId="18">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paragraph" w:styleId="19">
    <w:name w:val="Title"/>
    <w:basedOn w:val="1"/>
    <w:next w:val="1"/>
    <w:qFormat/>
    <w:uiPriority w:val="10"/>
    <w:pPr>
      <w:ind w:firstLine="0" w:firstLineChars="0"/>
      <w:jc w:val="center"/>
      <w:outlineLvl w:val="0"/>
    </w:pPr>
    <w:rPr>
      <w:rFonts w:eastAsia="方正小标宋简体"/>
      <w:bCs/>
      <w:sz w:val="44"/>
      <w:szCs w:val="32"/>
    </w:rPr>
  </w:style>
  <w:style w:type="character" w:styleId="22">
    <w:name w:val="FollowedHyperlink"/>
    <w:unhideWhenUsed/>
    <w:qFormat/>
    <w:uiPriority w:val="99"/>
    <w:rPr>
      <w:color w:val="954F72"/>
      <w:u w:val="single"/>
    </w:rPr>
  </w:style>
  <w:style w:type="character" w:styleId="23">
    <w:name w:val="Hyperlink"/>
    <w:qFormat/>
    <w:uiPriority w:val="99"/>
    <w:rPr>
      <w:rFonts w:hint="default" w:ascii="ˎ̥" w:hAnsi="ˎ̥"/>
      <w:color w:val="0404B3"/>
      <w:sz w:val="18"/>
      <w:szCs w:val="18"/>
      <w:u w:val="none"/>
    </w:rPr>
  </w:style>
  <w:style w:type="character" w:customStyle="1" w:styleId="24">
    <w:name w:val="页脚 字符"/>
    <w:link w:val="13"/>
    <w:qFormat/>
    <w:uiPriority w:val="99"/>
    <w:rPr>
      <w:sz w:val="18"/>
      <w:szCs w:val="18"/>
    </w:rPr>
  </w:style>
  <w:style w:type="character" w:customStyle="1" w:styleId="25">
    <w:name w:val="页眉 字符"/>
    <w:link w:val="14"/>
    <w:qFormat/>
    <w:uiPriority w:val="99"/>
    <w:rPr>
      <w:sz w:val="18"/>
      <w:szCs w:val="18"/>
    </w:rPr>
  </w:style>
  <w:style w:type="character" w:customStyle="1" w:styleId="26">
    <w:name w:val="16"/>
    <w:basedOn w:val="21"/>
    <w:qFormat/>
    <w:uiPriority w:val="0"/>
    <w:rPr>
      <w:rFonts w:hint="default" w:ascii="Calibri" w:hAnsi="Calibri"/>
      <w:b/>
    </w:rPr>
  </w:style>
  <w:style w:type="paragraph" w:customStyle="1" w:styleId="27">
    <w:name w:val="WPSOffice手动目录 1"/>
    <w:qFormat/>
    <w:uiPriority w:val="0"/>
    <w:rPr>
      <w:rFonts w:ascii="Times New Roman" w:hAnsi="Times New Roman" w:eastAsia="宋体" w:cs="Times New Roman"/>
      <w:lang w:val="en-US" w:eastAsia="zh-CN" w:bidi="ar-SA"/>
    </w:rPr>
  </w:style>
  <w:style w:type="character" w:customStyle="1" w:styleId="28">
    <w:name w:val="navtiao"/>
    <w:basedOn w:val="21"/>
    <w:qFormat/>
    <w:uiPriority w:val="0"/>
  </w:style>
  <w:style w:type="paragraph" w:customStyle="1" w:styleId="29">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30">
    <w:name w:val="paragraph"/>
    <w:basedOn w:val="1"/>
    <w:qFormat/>
    <w:uiPriority w:val="99"/>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2752</Words>
  <Characters>2764</Characters>
  <Lines>1</Lines>
  <Paragraphs>1</Paragraphs>
  <TotalTime>5</TotalTime>
  <ScaleCrop>false</ScaleCrop>
  <LinksUpToDate>false</LinksUpToDate>
  <CharactersWithSpaces>2796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2023-08-26T08:38:53Z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