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bidi w:val="0"/>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bidi w:val="0"/>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bidi w:val="0"/>
        <w:spacing w:line="560"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重庆市产品质量条例</w:t>
      </w:r>
    </w:p>
    <w:p>
      <w:pPr>
        <w:keepNext w:val="0"/>
        <w:keepLines w:val="0"/>
        <w:pageBreakBefore w:val="0"/>
        <w:kinsoku/>
        <w:wordWrap/>
        <w:overflowPunct/>
        <w:topLinePunct w:val="0"/>
        <w:autoSpaceDE/>
        <w:bidi w:val="0"/>
        <w:spacing w:line="560" w:lineRule="exact"/>
        <w:jc w:val="center"/>
        <w:textAlignment w:val="auto"/>
        <w:outlineLvl w:val="9"/>
        <w:rPr>
          <w:rFonts w:hint="eastAsia" w:ascii="仿宋_GB2312" w:hAnsi="仿宋_GB2312" w:eastAsia="仿宋_GB2312" w:cs="仿宋_GB2312"/>
          <w:w w:val="90"/>
          <w:sz w:val="28"/>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w w:val="90"/>
          <w:sz w:val="32"/>
          <w:szCs w:val="32"/>
        </w:rPr>
      </w:pPr>
      <w:r>
        <w:rPr>
          <w:rFonts w:hint="eastAsia" w:ascii="仿宋_GB2312" w:hAnsi="仿宋_GB2312" w:eastAsia="仿宋_GB2312" w:cs="仿宋_GB2312"/>
          <w:w w:val="90"/>
          <w:sz w:val="32"/>
          <w:szCs w:val="32"/>
        </w:rPr>
        <w:t>（2014年8月1日重庆市第四届人民代表大会常务委员会第十二次会议通过）</w:t>
      </w:r>
    </w:p>
    <w:p>
      <w:pPr>
        <w:keepNext w:val="0"/>
        <w:keepLines w:val="0"/>
        <w:pageBreakBefore w:val="0"/>
        <w:kinsoku/>
        <w:wordWrap/>
        <w:overflowPunct/>
        <w:topLinePunct w:val="0"/>
        <w:autoSpaceDE/>
        <w:bidi w:val="0"/>
        <w:spacing w:line="560" w:lineRule="exact"/>
        <w:textAlignment w:val="auto"/>
        <w:outlineLvl w:val="9"/>
        <w:rPr>
          <w:rFonts w:hint="eastAsia" w:ascii="仿宋_GB2312" w:hAnsi="仿宋_GB2312" w:eastAsia="仿宋_GB2312" w:cs="仿宋_GB2312"/>
          <w:color w:val="000000"/>
          <w:szCs w:val="32"/>
          <w:shd w:val="clear" w:color="auto" w:fill="FFFFFF"/>
        </w:rPr>
      </w:pPr>
    </w:p>
    <w:p>
      <w:pPr>
        <w:keepNext w:val="0"/>
        <w:keepLines w:val="0"/>
        <w:pageBreakBefore w:val="0"/>
        <w:kinsoku/>
        <w:wordWrap/>
        <w:overflowPunct/>
        <w:topLinePunct w:val="0"/>
        <w:autoSpaceDE/>
        <w:bidi w:val="0"/>
        <w:spacing w:line="560" w:lineRule="exact"/>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楷体_GB2312" w:hAnsi="楷体_GB2312" w:eastAsia="楷体_GB2312" w:cs="楷体_GB2312"/>
          <w:sz w:val="32"/>
          <w:szCs w:val="32"/>
        </w:rPr>
      </w:pPr>
    </w:p>
    <w:p>
      <w:pPr>
        <w:keepNext w:val="0"/>
        <w:keepLines w:val="0"/>
        <w:pageBreakBefore w:val="0"/>
        <w:kinsoku/>
        <w:wordWrap/>
        <w:overflowPunct/>
        <w:topLinePunct w:val="0"/>
        <w:autoSpaceDE/>
        <w:bidi w:val="0"/>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kinsoku/>
        <w:wordWrap/>
        <w:overflowPunct/>
        <w:topLinePunct w:val="0"/>
        <w:autoSpaceDE/>
        <w:bidi w:val="0"/>
        <w:spacing w:line="560" w:lineRule="exact"/>
        <w:ind w:left="1280" w:hanging="1280" w:hangingChars="4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生产者、销售者的责任和义务</w:t>
      </w:r>
    </w:p>
    <w:p>
      <w:pPr>
        <w:keepNext w:val="0"/>
        <w:keepLines w:val="0"/>
        <w:pageBreakBefore w:val="0"/>
        <w:kinsoku/>
        <w:wordWrap/>
        <w:overflowPunct/>
        <w:topLinePunct w:val="0"/>
        <w:autoSpaceDE/>
        <w:bidi w:val="0"/>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监督管理</w:t>
      </w:r>
    </w:p>
    <w:p>
      <w:pPr>
        <w:keepNext w:val="0"/>
        <w:keepLines w:val="0"/>
        <w:pageBreakBefore w:val="0"/>
        <w:kinsoku/>
        <w:wordWrap/>
        <w:overflowPunct/>
        <w:topLinePunct w:val="0"/>
        <w:autoSpaceDE/>
        <w:bidi w:val="0"/>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法律责任</w:t>
      </w:r>
    </w:p>
    <w:p>
      <w:pPr>
        <w:keepNext w:val="0"/>
        <w:keepLines w:val="0"/>
        <w:pageBreakBefore w:val="0"/>
        <w:kinsoku/>
        <w:wordWrap/>
        <w:overflowPunct/>
        <w:topLinePunct w:val="0"/>
        <w:autoSpaceDE/>
        <w:bidi w:val="0"/>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附则</w:t>
      </w:r>
    </w:p>
    <w:p>
      <w:pPr>
        <w:keepNext w:val="0"/>
        <w:keepLines w:val="0"/>
        <w:pageBreakBefore w:val="0"/>
        <w:kinsoku/>
        <w:wordWrap/>
        <w:overflowPunct/>
        <w:topLinePunct w:val="0"/>
        <w:autoSpaceDE/>
        <w:bidi w:val="0"/>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为了加强对产品质量的监督管理，提高产品质量水平，明确产品质量责任，保护消费者的合法权益，维护社会经济秩序，根据《中华人民共和国产品质量法》和有关法律、行政法规，结合本市实际，制定本条例。</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在本市行政区域内从事产品生产、销售及相关活动和对产品质量实施监督，适用本条例。</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本条例所称产品是指经过加工、制作，用于销售的产品。</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建设工程不适用本条例规定；但是，建设工程使用的建筑材料、建筑构配件和设备，属于本条第二款规定的产品范围的，适用本条例规定。</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军工产品不适用本条例规定；但是，军工企业生产的民用产品，属于本条第二款规定的产品范围的，适用本条例规定。</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法律、法规对食品、药品、特种设备等产品有规定的从其规定，没有规定的适用本条例。</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生产者、销售者是产品质量的责任主体，应当依法从事产品生产、销售活动，诚信经营，接受监督。</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bookmarkStart w:id="0" w:name="_GoBack"/>
      <w:r>
        <w:rPr>
          <w:rFonts w:hint="eastAsia" w:ascii="仿宋_GB2312" w:hAnsi="仿宋_GB2312" w:eastAsia="仿宋_GB2312" w:cs="仿宋_GB2312"/>
          <w:sz w:val="32"/>
          <w:szCs w:val="32"/>
        </w:rPr>
        <w:t>市</w:t>
      </w:r>
      <w:bookmarkEnd w:id="0"/>
      <w:r>
        <w:rPr>
          <w:rFonts w:hint="eastAsia" w:ascii="仿宋_GB2312" w:hAnsi="仿宋_GB2312" w:eastAsia="仿宋_GB2312" w:cs="仿宋_GB2312"/>
          <w:sz w:val="32"/>
          <w:szCs w:val="32"/>
        </w:rPr>
        <w:t>、区县（自治县）人民政府应当把提高产品质量纳入国民经济和社会发展规划，加强对产品质量工作的统筹规划和组织领导，引导、督促生产者、销售者加强产品质量管理，提高产品质量，组织有关部门加强产品质量监督管理，建立产品质量监督管理责任制。</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质量技术监督部门主管本市行政区域内的产品质量监督工作。</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质量技术监督部门具体负责本市行政区域内生产领域产品的质量监督管理工作；工商行政管理部门具体负责本市行政区域内流通领域产品的质量监督管理工作。</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有关部门在各自职责范围内负责产品质量监督管理工作。</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行业协会应当加强行业自律，引导、督促生产者、销售者、服务业经营者依法经营，推动行业诚信建设，参与标准制定，宣传、普及产品质量知识。</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鼓励推行科学的质量管理方法，采用先进的科学技术，提高产品质量，推动自主品牌建设；鼓励企业产品质量达到并且超过行业标准、国家标准和国际标准。</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加强产品质量技术基础建设，提高计量、标准化和产品质量检验检测等技术机构的能力和水平；鼓励和促进产品质量检验检测新技术的研究开发，为产品质量工作提供技术保障。</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建立产品质量奖励制度，按照国家和本市有关规定对产品质量管理先进、产品质量达到国际先进水平和为产品质量检验检测技术研究作出突出贡献的单位和个人，给予奖励。</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鼓励、支持和保护对产品质量的社会监督。</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对举报产品质量违法行为有功的单位和个人，有关部门应当给予奖励，奖励的具体办法由市人民政府制定。</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bidi w:val="0"/>
        <w:spacing w:line="560" w:lineRule="exact"/>
        <w:ind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生产者、销售者的责任和义务</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生产者应当对其生产的产品质量负责。</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产品质量应当符合下列要求：</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（一）不存在危及人身、财产安全的不合理的危险，有保障人体健康和人身、财产安全的国家标准、行业标准或者地方标准的，应当符合该标准；</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（二）具备产品应当具备的使用性能，但是，对产品存在使用性能的瑕疵明示的除外；</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（三）符合在产品或者其包装上注明采用的产品标准，符合以产品说明、实物样品等方式表明的质量状况。</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生产者、销售者和服务业经营者提供的赠品、奖品，应当符合前款规定。</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产品或者其包装上的标识应当真实，并符合下列要求：</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（一）有产品执行标准、产品质量检验合格证明；</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（二）有中文标明的产品名称、生产者名称和地址；属于委托或者授权生产的，还应当标明委托方或者授权方名称和地址；</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（三）根据产品特点和使用要求，需要标明产品规格、等级、所含主要成份的名称和含量的，用中文相应予以标明；需要事先让消费者知晓的，应当在外包装上标明，或者预先向消费者提供有关资料；</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（四）限期使用的产品，应当在显著位置清晰地标明生产日期和安全使用期或者标明失效日期；</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（五）使用不当，容易造成产品本身损坏或者可能危及人身、财产安全的产品，应当有警示标志或者中文警示说明；</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（六）实行生产许可证制度的产品，应当有生产许可证标志和编号；</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（七）实行强制性产品认证制度的产品，应当有认证标志；</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（八）实行能源效率标识管理制度的产品，应当有能源效率标识；</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（九）实行商品条码强制性标注管理的产品，应当有商品条码；</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（十）根据国家和本市有关规定应当标明的其他内容。</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根据产品的特点难以附加标识的裸装产品，可以不附加产品标识。</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销售者销售的进口产品或者其包装上应当有中文标识。中文标识应当真实，并符合下列要求：</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（一）标明产品名称、产地以及进口商或者总经销者名称、地址；</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（二）限期使用的产品，应当标明失效日期。</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用进口散件组装或者分装的产品，应当在产品或者其包装上用中文标明组装或者分装企业的名称、地址。</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关系人体健康和人身、财产安全或者对使用、维护有特殊要求的产品，应当附有中文说明书。</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生产者应当建立原辅材料、零部件的进货检查验收制度，验明供货商的经营资格、产品质量检验合格证明、产品标识和产品质量状况等，并建立进货验收台账。依照法律、法规规定实行生产许可证或者强制性产品认证制度的，还应当查验其许可证、认证证书。</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生产者应当建立产品质量出厂检验制度，对出厂产品实施出厂检验，经检验合格的产品方可出厂销售，并建立产品出厂检验台账。</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生产者应当建立产品质量档案，如实记录原辅材料和零部件的进货检查验收、产品出厂检验、销售、回收处置等情况。</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销售者应当建立进货检查验收制度，验明产品质量检验合格证明和其他标识，如实记录进货检查验收情况。依照法律、法规规定实行生产许可证或者强制性产品认证制度的产品，还应当查验其许可证、认证证书。</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服务业经营者采购其在经营服务过程中提供、使用的产品时应当按照前款规定执行。</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销售者、服务业经营者应当根据产品特点采取必要的保管措施，保持所销售、经营产品的质量。</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集中交易市场的开办者、柜台出租者和展销会举办者，应当审查入场经营者的营业执照、经营资质、资格等证明文件，明确入场经营者的产品质量责任，定期对入场经营者的经营环境和条件进行检查，发现经营者有产品质量违法行为的，应当及时制止并立即报告有关部门。</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集中交易市场的开办者、柜台出租者和展销会举办者未履行前款规定义务，本市场发生产品质量安全事故的，应当承担连带责任。</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生产者、销售者、服务业经营者不得有下列行为：</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（一）对不实行生产许可证制度的产品，使用生产许可证标志和编号；</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（二）对不实行强制性产品认证制度的产品，使用强制性产品认证标志；</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（三）生产、销售无产品名称、厂名厂址、产品质量合格证明等标志的产品；</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（四）标注虚假的产品生产日期和安全使用期或者标注虚假的失效日期；</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（五）伪造或者篡改产品检验数据、检验结论及其他产品质量证明材料等相关信息；</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（六）销售超过安全使用期或者失效日期的产品；</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（七）法律、法规规定的其他禁止行为。</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因检验、展示、保管、运输等导致产品存在使用性能瑕疵，且该瑕疵不违反法律强制性规定的，生产者、销售者、服务业经营者提供产品或者服务时应当明示。</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产品投入流通后，生产者获知其生产的某一批次、型号或者类别的产品可能存在危及人体健康和人身、财产安全的不合理危险的，应当立即开展调查。经调查确认产品存在缺陷的，生产者应当及时向销售者、消费者发出警示，采取停止生产、销售、召回等补救措施，并向质量技术监督部门报告。</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销售者、服务业经营者获知其销售、经营的产品存在缺陷的，应当立即停止销售、经营该缺陷产品，并配合生产者采取相应的补救措施。</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量技术监督部门、工商行政管理部门发现并认定生产者、销售者、服务业经营者提供的产品或者服务存在缺陷，危及人身、财产安全危险的，应当立即责令其采取停止销售、警示、召回、无害化处理、销毁、停止生产或者服务等措施。</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kinsoku/>
        <w:wordWrap/>
        <w:overflowPunct/>
        <w:topLinePunct w:val="0"/>
        <w:autoSpaceDE/>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产品质量实行以抽查为主要方式的监督检查制度，重点对下列产品实施监督抽查：</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（一）可能危及人体健康和人身、财产安全的产品；</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（二）影响国计民生的重要工业产品；</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（三）消费者、有关组织反映有质量问题的产品。</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其中第一、二项产品的监督抽查依据监督检查计划实施，突发事件情况下，可以根据国家有关部门或者市政府决定实施；第三项产品的监督抽查根据消费者、有关组织的反映启动。</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市质量技术监督部门应当会同有关部门编制生产领域的重点监督检查产品目录和产品质量监督检查计划，并向社会公布。</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市质量技术监督部门应当根据重点监督检查产品目录和产品质量监督检查计划，组织实施产品质量监督抽查，并定期公布监督抽查情况。</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市工商行政管理部门应当会同有关部门编制流通领域的产品质量监督检查计划，并向社会公布。</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市工商行政管理部门应当根据产品质量监督检查计划，组织实施产品质量监督抽查，并定期公布监督抽查情况。</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质量技术监督部门、工商行政管理部门在编制监督检查计划时，应当</w:t>
      </w:r>
      <w:r>
        <w:rPr>
          <w:rFonts w:hint="eastAsia" w:ascii="仿宋_GB2312" w:hAnsi="仿宋_GB2312" w:eastAsia="仿宋_GB2312" w:cs="仿宋_GB2312"/>
          <w:color w:val="000000"/>
          <w:sz w:val="32"/>
          <w:szCs w:val="32"/>
          <w:shd w:val="clear" w:color="auto" w:fill="FFFFFF"/>
        </w:rPr>
        <w:t>征求企业、行业主管部门、行业协会和社会公众的意见</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监督检查计划可以根据产品关系国计民生的重要程度、上一次监督抽查的合格率等因素确定定期和不定期监督抽查形式。</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建立根据消费者、有关组织反映启动监督抽查程序制度，具体办法由市人民政府制定。</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产品质量不合格的，生产者、销售者应当对其他库存产品、其他在售产品进行全面清理，依法处理不合格产品，并向质量技术监督部门、工商行政管理部门书面报告处理情况。质量技术监督部门、工商行政管理部门根据需要可以组织核查。</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进行监督抽查的产品质量不合格的，生产者应当按照规定改正并申请复查。生产者无正当理由逾期不申请复查的，视为逾期不改正，由质量技术监督部门予以公告；公告后仍不整改并申请复查的，视为经复查产品质量仍不合格。</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监督抽查中发现不合格产品的生产者在外省市的，由质量技术监督部门移交生产者所在地的质量技术监督部门处理。</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质量技术监督部门、工商行政管理部门开展监督抽查工作应当密切配合，相互协调，避免重复。</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根据产品质量监督检查的需要，质量技术监督部门、工商行政管理部门可以组织对产品质量进行检验。</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质量技术监督部门、工商行政管理部门实施产品质量检验，应当委托有相应资质的产品质量检验机构进行检验。</w:t>
      </w:r>
      <w:r>
        <w:rPr>
          <w:rFonts w:hint="eastAsia" w:ascii="仿宋_GB2312" w:hAnsi="仿宋_GB2312" w:eastAsia="仿宋_GB2312" w:cs="仿宋_GB2312"/>
          <w:color w:val="000000"/>
          <w:sz w:val="32"/>
          <w:szCs w:val="32"/>
        </w:rPr>
        <w:t>委托部门应当与被委托的检验机构签订委托协议书，明确双方的权利、义务、违约责任等内容。</w:t>
      </w:r>
      <w:r>
        <w:rPr>
          <w:rFonts w:hint="eastAsia" w:ascii="仿宋_GB2312" w:hAnsi="仿宋_GB2312" w:eastAsia="仿宋_GB2312" w:cs="仿宋_GB2312"/>
          <w:sz w:val="32"/>
          <w:szCs w:val="32"/>
        </w:rPr>
        <w:t>受委托的产品质量检验机构应当在委托范围内，以委托机关的名义实施抽样并以自己的名义出具检验报告。</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质量技术监督部门、工商行政管理部门对同一企业监督抽查两次以上的，不得连续委托本市同一检验机构进行，但在本市只有一个检验机构符合所抽查产品检验资质的除外。</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产品质量检验抽取的样品应当在市场上或者企业成品仓库内的待销产品中随机抽取，并当场封存、妥善保管。其抽取的方法、数量应当符合有关标准或者规定；样品数量没有规定的，市质量技术监督部门、工商行政管理部门应当根据检验的合理需要确定。</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质量技术监督部门、工商行政管理部门抽取样品时，其行政执法人员应当出示有效执法证件和相关文书；产品质量检验机构依法接受委托独立抽取样品时，其检验人员应当出示工作证、委托检验书等有效文书。 </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产品质量检验所需样品，依法无偿抽取。法律法规规定对样品进行买样检验的，从其规定。</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检验结束后，被检查人对检验结果无异议的，样品应当在异议期满后退还被检查人；有异议的，样品应当在复检结束后退还被检查人。</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样品因正常检验破损的，应当按照前款规定退还被检查人；样品非因正常检验破损的，检验机构应当依法赔偿。</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产品质量检验机构应当具备相应的检测条件和能力，经省级以上质量技术监督部门或者其授权的部门考核合格后，方可承担产品质量检验工作。</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因突发事件等特殊情况，所需检验项目超出检验机构资质范围的，市质量技术监督部门可以在具有相应检测能力的检验机构中择优指定检验机构承担检验工作。</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检验、判定产品质量的依据包括：</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（一）国家标准、行业标准、地方标准或者企业标准；</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（二）产品或者其包装上明示的内容，或者以产品说明、实物样品等方式表明的质量状况；</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（三）国家和市质量技术监督部门批准的产品质量监督检验方法和质量判定规则；</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（四）法律法规规定的其他依据。</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检验结束后，质量技术监督部门、工商行政管理部门应当将检验结果依法送达被检查人。</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被检查人对检验结果有异议的，可以自收到检验结果之日起十五日内以书面形式向实施产品质量监督抽查的部门或者其上级部门申请复检；逾期未提出复检申请的，视为无异议。</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复检由其他产品质量检验机构或者原产品质量检验机构承担；由原产品质量检验机构承担的，原检验人员应当回避。</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复检结论为最终检验结果，被检查人不得再次申请复检。</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产品质量检验机构开展产品质量检验，应当遵循独立公正、科学客观、诚实守信的原则，并对其出具的检验结果负责。</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产品质量检验机构及其抽样人员、检验人员开展产品质量检验应当遵守下列规定：</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（一）不得超资质范围开展检验工作；</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（二）不得出具虚假检验结果；</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（三）不得转包检验项目；</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（四）不得违反规定或者约定，擅自处理或者不及时退还抽取的样品；</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（五）不得收受被检查人的请客、送礼或者其他利益。</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质量技术监督部门、工商行政管理部门实施监督抽查所需检验费用由财政列支，不得向被检查人收取。</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复检所需检验费由责任方承担。复检结果与原检验结果一致的，由复检申请人承担；复检结果与原检验结果不一致的，由委托检验的行政管理部门承担。</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消费者委托产品质量检验机构进行产品质量检验所需检验费由委托者承担。</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质量技术监督部门应当完善产品质量监督管理机制，创新产品质量监督管理方式，建立健全产品质量分类监管、风险监测、违法行为约谈告诫等制度。</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质量技术监督部门、工商行政管理部门等有关部门应当督促生产者、销售者、服务业经营者诚信经营，将其产品质量信用信息纳入企业联合征信系统，并依法向社会公布。</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质量技术监督部门、工商行政管理部门以及有关部门应当建立产品质量执法信息抄告制度。</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接到抄告信息的部门应当按照本部门职责范围依法处理。</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按照规定查封、扣押的产品在查封、扣押期内有下列情形之一的，实施查封、扣押的部门可以先行处理：</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（一）易腐烂、变质的；</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（二）已经或者即将超过保质（保存）期和安全使用期，或者失效日期的；</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（三）有毒、有害、易燃、易爆或者可能危害公共安全的。</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查封、扣押期满后无人认领的，查封、扣押部门应当按照相关规定处理。</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市质量技术监督部门、市工商行政管理部门应当编制重大产品质量安全事故处置预案，并组织协调事故的调查处理。</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任何单位和个人有权对违反产品质量规定的行为，向质量技术监督部门、工商行政管理部门或者其他有关部门举报。</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质量技术监督部门、工商行政管理部门和其他有关部门应当公布举报方式；接到举报，应当及时完整记录，妥善保存，并为举报人保密。</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举报事项属于本部门职责的，应当受理，并客观、公正、及时地进行核实、处理、答复；不属于本部门职责的，应当告知举报人向有权处理部门进行举报。</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举报事项符合市人民政府规定的启动监督抽查程序条件的，质量技术监督部门、工商行政管理部门应当启动监督抽查程序。</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鼓励新闻媒体对产品质量实施舆论监督，向消费者介绍产品质量知识，宣传有关产品质量监督管理的法律、法规，揭露和批评产品生产、销售、检验中的违法行为。</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新闻媒体实施舆论监督应当客观、公正、真实。</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法律责任</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违反本条例规定的行为，有关法律、行政法规已有处罚规定的，适用其规定。</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反本条例第十条第二款第一项规定，生产、销售不符合保障人体健康和人身、财产安全的地方标准的产品的，由质量技术监督部门或者工商行政管理部门按照各自职责责令停止生产、销售，没收违法生产、销售的产品，并处违法生产、销售产品（包括已售出的和未售出的产品）货值金额等值以上三倍以下的罚款；有违法所得的，并处没收违法所得。</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 违反本条例第十条第三款规定，生产者、销售者和服务业经营者将不符合产品质量要求的产品作为赠品、奖品的，由质量技术监督部门或者工商行政管理部门按照各自职责责令改正，没收违法的赠品或者奖品，并处赠品或者奖品货值金额百分之三十以上百分之五十以下的罚款。</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违反本条例第十二条规定，销售者销售的进口产品标识不符合要求，或者未按照规定标明组装或者分装企业的名称、地址，或者未按照规定附有说明书的，由工商行政管理部门责令改正；拒不改正的，责令停止销售，并处违法销售产品货值金额百分之十以上百分之三十以下的罚款；有违法所得的，并处没收违法所得。</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 xml:space="preserve"> 违反本条例第十三条规定，生产者未按照规定建立进货检查验收制度或者产品质量档案的，由质量技术监督部门责令改正；拒不改正的，处五千元以上三万元以下罚款。</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 xml:space="preserve"> 违反本条例第十四条规定，销售者、服务业经营者未按照规定建立进货检查验收制度的，由质量技术监督部门或者工商行政管理部门按照各自职责责令改正；拒不改正的，处一千元以上一万元以下罚款。</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 xml:space="preserve"> 违反本条例第十五条规定，集中交易市场的开办者、柜台出租者和展销会举办者未履行审查、检查、报告义务的，由工商行政管理部门责令改正；拒不改正的，处一万元以上五万元以下的罚款。</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违反本条例第十六条规定，生产者、销售者、服务业经营者在生产、销售、经营活动中有第一项至第五项禁止行为的，由质量技术监督部门或者工商行政管理部门按照各自职责责令改正；拒不改正的，责令停止生产、销售、经营，没收违法生产、销售、经营的产品，并处违法生产、销售、经营产品货值金额等值以上三倍以下的罚款；有违法所得的，没收违法所得。</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六条规定，生产者、销售者、服务业经营者在生产、销售、经营活动中有第六项禁止行为的，由质量技术监督部门或者工商行政管理部门按照各自职责责令停止生产、销售、经营，没收生产、销售、经营的产品，并处违法生产、销售、经营产品货值金额等值以上二倍以下的罚款；有违法所得的，并处没收违法所得。</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 xml:space="preserve"> 违反本条例第十八条规定，生产者未按照规定履行调查、警示、报告义务或者采取相应补救措施的，由质量技术监督部门责令改正；拒不改正的，处一万元以上五万元以下罚款。</w:t>
      </w:r>
    </w:p>
    <w:p>
      <w:pPr>
        <w:keepNext w:val="0"/>
        <w:keepLines w:val="0"/>
        <w:pageBreakBefore w:val="0"/>
        <w:tabs>
          <w:tab w:val="left" w:pos="3087"/>
        </w:tabs>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 xml:space="preserve"> 违反本条例第二十四条规定，生产者、销售者、服务业经营者未按照规定履行清理、处理、报告义务的，由质量技术监督部门或者工商行政管理部门按照各自职责责令改正；拒不改正的，处一万元以上五万元以下罚款。</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第五十一条 </w:t>
      </w:r>
      <w:r>
        <w:rPr>
          <w:rFonts w:hint="eastAsia" w:ascii="仿宋_GB2312" w:hAnsi="仿宋_GB2312" w:eastAsia="仿宋_GB2312" w:cs="仿宋_GB2312"/>
          <w:sz w:val="32"/>
          <w:szCs w:val="32"/>
        </w:rPr>
        <w:t xml:space="preserve"> 产品质量检验机构开展产品质量检验违反本条例第三十二条第二款规定的，由质量技术监督部门责令改正，对单位处五万元以上十万元以下的罚款，对直接负责的主管人员和抽样人员、检验人员等其他直接责任人员各处一万元以上五万元以下的罚款；有违法所得的，并处没收违法所得；情节严重的，取消其检验资格。</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有关部门根据检验机构抽样检验得出的检验结论判定合格的同一批次产品，因产品质量造成消费者人身伤亡或者重大财产损失，检验机构存在过错的，由市质量技术监督部门对该检验机构按照前款规定处罚。</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 xml:space="preserve"> 国家工作人员在产品质量监督管理工作中滥用职权、玩忽职守、徇私舞弊的，由其所在单位或者上级主管部门给予处分；构成犯罪的，依法追究刑事责任。</w:t>
      </w:r>
    </w:p>
    <w:p>
      <w:pPr>
        <w:keepNext w:val="0"/>
        <w:keepLines w:val="0"/>
        <w:pageBreakBefore w:val="0"/>
        <w:kinsoku/>
        <w:wordWrap/>
        <w:overflowPunct/>
        <w:topLinePunct w:val="0"/>
        <w:autoSpaceDE/>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附则</w:t>
      </w:r>
    </w:p>
    <w:p>
      <w:pPr>
        <w:keepNext w:val="0"/>
        <w:keepLines w:val="0"/>
        <w:pageBreakBefore w:val="0"/>
        <w:kinsoku/>
        <w:wordWrap/>
        <w:overflowPunct/>
        <w:topLinePunct w:val="0"/>
        <w:autoSpaceDE/>
        <w:bidi w:val="0"/>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bidi w:val="0"/>
        <w:spacing w:line="560" w:lineRule="exact"/>
        <w:ind w:firstLine="480" w:firstLineChars="15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本条例自2015年1月1日起施行。1997年9月13日重庆市第一届人民代表大会常务委员会第三次会议通过、</w:t>
      </w:r>
      <w:r>
        <w:rPr>
          <w:rFonts w:hint="eastAsia" w:ascii="仿宋_GB2312" w:hAnsi="仿宋_GB2312" w:eastAsia="仿宋_GB2312" w:cs="仿宋_GB2312"/>
          <w:color w:val="363636"/>
          <w:sz w:val="32"/>
          <w:szCs w:val="32"/>
        </w:rPr>
        <w:t>2002年3月27日重庆市第一届人民代表大会常务委员会第三十九次会议修订的</w:t>
      </w:r>
      <w:r>
        <w:rPr>
          <w:rFonts w:hint="eastAsia" w:ascii="仿宋_GB2312" w:hAnsi="仿宋_GB2312" w:eastAsia="仿宋_GB2312" w:cs="仿宋_GB2312"/>
          <w:sz w:val="32"/>
          <w:szCs w:val="32"/>
        </w:rPr>
        <w:t>《重庆市产品质量监督管理条例》同时废止。</w:t>
      </w:r>
    </w:p>
    <w:p>
      <w:pPr>
        <w:keepNext w:val="0"/>
        <w:keepLines w:val="0"/>
        <w:pageBreakBefore w:val="0"/>
        <w:kinsoku/>
        <w:wordWrap/>
        <w:overflowPunct/>
        <w:topLinePunct w:val="0"/>
        <w:autoSpaceDE/>
        <w:bidi w:val="0"/>
        <w:snapToGrid w:val="0"/>
        <w:spacing w:line="560" w:lineRule="exact"/>
        <w:textAlignment w:val="auto"/>
        <w:outlineLvl w:val="9"/>
        <w:rPr>
          <w:rFonts w:hint="eastAsia" w:ascii="仿宋_GB2312" w:hAnsi="仿宋_GB2312" w:eastAsia="仿宋_GB2312" w:cs="仿宋_GB2312"/>
          <w:sz w:val="28"/>
          <w:szCs w:val="28"/>
        </w:rPr>
      </w:pPr>
    </w:p>
    <w:sectPr>
      <w:footerReference r:id="rId3" w:type="default"/>
      <w:footerReference r:id="rId4" w:type="even"/>
      <w:pgSz w:w="11906" w:h="16838"/>
      <w:pgMar w:top="2041" w:right="1531" w:bottom="2041" w:left="153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_GBK">
    <w:altName w:val="微软雅黑"/>
    <w:panose1 w:val="03000509000000000000"/>
    <w:charset w:val="86"/>
    <w:family w:val="script"/>
    <w:pitch w:val="default"/>
    <w:sig w:usb0="00000001" w:usb1="080E0000" w:usb2="00000000" w:usb3="00000000" w:csb0="00040000" w:csb1="00000000"/>
  </w:font>
  <w:font w:name="Baskerville Old Face">
    <w:altName w:val="Segoe Print"/>
    <w:panose1 w:val="02020602080505020303"/>
    <w:charset w:val="00"/>
    <w:family w:val="roman"/>
    <w:pitch w:val="default"/>
    <w:sig w:usb0="00000003" w:usb1="00000000" w:usb2="00000000" w:usb3="00000000" w:csb0="20000001"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8"/>
        <w:rFonts w:hint="eastAsia" w:ascii="宋体" w:hAnsi="宋体"/>
        <w:sz w:val="28"/>
        <w:szCs w:val="28"/>
      </w:rPr>
    </w:pPr>
    <w:r>
      <w:rPr>
        <w:rFonts w:hint="eastAsia" w:ascii="宋体" w:hAnsi="宋体"/>
        <w:sz w:val="28"/>
        <w:szCs w:val="28"/>
      </w:rPr>
      <w:fldChar w:fldCharType="begin"/>
    </w:r>
    <w:r>
      <w:rPr>
        <w:rStyle w:val="8"/>
        <w:rFonts w:hint="eastAsia" w:ascii="宋体" w:hAnsi="宋体"/>
        <w:sz w:val="28"/>
        <w:szCs w:val="28"/>
      </w:rPr>
      <w:instrText xml:space="preserve">PAGE  </w:instrText>
    </w:r>
    <w:r>
      <w:rPr>
        <w:rFonts w:hint="eastAsia" w:ascii="宋体" w:hAnsi="宋体"/>
        <w:sz w:val="28"/>
        <w:szCs w:val="28"/>
      </w:rPr>
      <w:fldChar w:fldCharType="separate"/>
    </w:r>
    <w:r>
      <w:rPr>
        <w:rStyle w:val="8"/>
        <w:rFonts w:ascii="宋体" w:hAnsi="宋体"/>
        <w:sz w:val="28"/>
        <w:szCs w:val="28"/>
        <w:lang/>
      </w:rPr>
      <w:t>- 1 -</w:t>
    </w:r>
    <w:r>
      <w:rPr>
        <w:rFonts w:hint="eastAsia" w:ascii="宋体" w:hAnsi="宋体"/>
        <w:sz w:val="28"/>
        <w:szCs w:val="28"/>
      </w:rPr>
      <w:fldChar w:fldCharType="end"/>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8"/>
      </w:rPr>
    </w:pPr>
    <w:r>
      <w:fldChar w:fldCharType="begin"/>
    </w:r>
    <w:r>
      <w:rPr>
        <w:rStyle w:val="8"/>
      </w:rPr>
      <w:instrText xml:space="preserve">PAGE  </w:instrText>
    </w:r>
    <w:r>
      <w:fldChar w:fldCharType="end"/>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127"/>
    <w:rsid w:val="000B1ADE"/>
    <w:rsid w:val="000F4BC8"/>
    <w:rsid w:val="00240A7C"/>
    <w:rsid w:val="002E5A6C"/>
    <w:rsid w:val="003D5662"/>
    <w:rsid w:val="003E388D"/>
    <w:rsid w:val="00460CF4"/>
    <w:rsid w:val="00543456"/>
    <w:rsid w:val="00575A78"/>
    <w:rsid w:val="005D7ABF"/>
    <w:rsid w:val="005F1949"/>
    <w:rsid w:val="00676FC5"/>
    <w:rsid w:val="006967E9"/>
    <w:rsid w:val="006C0723"/>
    <w:rsid w:val="006F2127"/>
    <w:rsid w:val="006F5BEC"/>
    <w:rsid w:val="0074107C"/>
    <w:rsid w:val="00846767"/>
    <w:rsid w:val="00942753"/>
    <w:rsid w:val="00A37DC5"/>
    <w:rsid w:val="00B10BED"/>
    <w:rsid w:val="00BA5A4F"/>
    <w:rsid w:val="00BF04AD"/>
    <w:rsid w:val="00BF40B6"/>
    <w:rsid w:val="00C52466"/>
    <w:rsid w:val="00C55310"/>
    <w:rsid w:val="00CC1688"/>
    <w:rsid w:val="00D92FDE"/>
    <w:rsid w:val="00E66F38"/>
    <w:rsid w:val="00E9520B"/>
    <w:rsid w:val="00ED05B5"/>
    <w:rsid w:val="00F011AB"/>
    <w:rsid w:val="2B8E2037"/>
    <w:rsid w:val="2FD67436"/>
    <w:rsid w:val="37E60A62"/>
    <w:rsid w:val="404D11E3"/>
    <w:rsid w:val="429F5937"/>
    <w:rsid w:val="50152BEE"/>
    <w:rsid w:val="66E42E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6">
    <w:name w:val="Default Paragraph Font"/>
    <w:link w:val="7"/>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2">
    <w:name w:val="Date"/>
    <w:basedOn w:val="1"/>
    <w:next w:val="1"/>
    <w:uiPriority w:val="0"/>
    <w:pPr>
      <w:ind w:left="100" w:leftChars="2500"/>
    </w:p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Body Text 2"/>
    <w:basedOn w:val="1"/>
    <w:uiPriority w:val="0"/>
    <w:pPr>
      <w:spacing w:line="600" w:lineRule="exact"/>
      <w:jc w:val="center"/>
    </w:pPr>
    <w:rPr>
      <w:rFonts w:eastAsia="方正小标宋_GBK"/>
      <w:w w:val="90"/>
      <w:sz w:val="44"/>
    </w:rPr>
  </w:style>
  <w:style w:type="paragraph" w:customStyle="1" w:styleId="7">
    <w:name w:val="Char"/>
    <w:basedOn w:val="1"/>
    <w:link w:val="6"/>
    <w:uiPriority w:val="0"/>
  </w:style>
  <w:style w:type="character" w:styleId="8">
    <w:name w:val="page number"/>
    <w:basedOn w:val="6"/>
    <w:uiPriority w:val="0"/>
  </w:style>
  <w:style w:type="paragraph" w:customStyle="1" w:styleId="10">
    <w:name w:val=" Char"/>
    <w:basedOn w:val="1"/>
    <w:uiPriority w:val="0"/>
    <w:pPr>
      <w:tabs>
        <w:tab w:val="left" w:pos="432"/>
      </w:tabs>
      <w:ind w:left="432" w:hanging="432"/>
    </w:pPr>
    <w:rPr>
      <w:sz w:val="24"/>
    </w:rPr>
  </w:style>
  <w:style w:type="paragraph" w:customStyle="1" w:styleId="11">
    <w:name w:val=" Char Char"/>
    <w:basedOn w:val="1"/>
    <w:uiPriority w:val="0"/>
    <w:pPr>
      <w:tabs>
        <w:tab w:val="left" w:pos="432"/>
      </w:tabs>
      <w:ind w:left="432" w:hanging="432"/>
    </w:pPr>
    <w:rPr>
      <w:sz w:val="24"/>
    </w:rPr>
  </w:style>
  <w:style w:type="paragraph" w:customStyle="1" w:styleId="12">
    <w:name w:val="p0"/>
    <w:basedOn w:val="1"/>
    <w:uiPriority w:val="0"/>
    <w:pPr>
      <w:widowControl/>
    </w:pPr>
    <w:rPr>
      <w:rFonts w:ascii="Baskerville Old Face" w:hAnsi="Baskerville Old Face" w:cs="宋体"/>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2634</Words>
  <Characters>15020</Characters>
  <Lines>125</Lines>
  <Paragraphs>35</Paragraphs>
  <ScaleCrop>false</ScaleCrop>
  <LinksUpToDate>false</LinksUpToDate>
  <CharactersWithSpaces>17619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2014-08-18T02:03:00Z</dcterms:created>
  <dc:creator>user</dc:creator>
  <cp:lastModifiedBy>方超</cp:lastModifiedBy>
  <cp:lastPrinted>2014-08-18T02:02:00Z</cp:lastPrinted>
  <dcterms:modified xsi:type="dcterms:W3CDTF">2017-02-17T01:18:47Z</dcterms:modified>
  <dc:title>渝常备〔2014〕 号                     签发人：</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