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Times New Roman" w:hAnsi="Times New Roman"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Times New Roman" w:hAnsi="Times New Roman" w:eastAsia="宋体" w:cs="宋体"/>
          <w:b w:val="0"/>
          <w:bCs/>
          <w:kern w:val="0"/>
          <w:sz w:val="44"/>
          <w:szCs w:val="44"/>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b w:val="0"/>
          <w:bCs/>
          <w:sz w:val="44"/>
          <w:szCs w:val="44"/>
          <w:lang w:val="en-US"/>
        </w:rPr>
      </w:pPr>
      <w:bookmarkStart w:id="0" w:name="_GoBack"/>
      <w:r>
        <w:rPr>
          <w:rFonts w:hint="eastAsia" w:ascii="Times New Roman" w:hAnsi="Times New Roman" w:eastAsia="宋体" w:cs="宋体"/>
          <w:b w:val="0"/>
          <w:bCs/>
          <w:kern w:val="0"/>
          <w:sz w:val="44"/>
          <w:szCs w:val="44"/>
          <w:lang w:val="en-US" w:eastAsia="zh-CN" w:bidi="ar"/>
        </w:rPr>
        <w:t>重庆市人民代表大会常务委员会关于黔江区享</w:t>
      </w:r>
      <w:bookmarkEnd w:id="0"/>
      <w:r>
        <w:rPr>
          <w:rFonts w:hint="eastAsia" w:ascii="Times New Roman" w:hAnsi="Times New Roman" w:eastAsia="宋体" w:cs="宋体"/>
          <w:b w:val="0"/>
          <w:bCs/>
          <w:kern w:val="0"/>
          <w:sz w:val="44"/>
          <w:szCs w:val="44"/>
          <w:lang w:val="en-US" w:eastAsia="zh-CN" w:bidi="ar"/>
        </w:rPr>
        <w:t>受有关民族优惠政策的决定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（2004年9月27日重庆市第二届人民代表大会常务委员会第十二次会议通过）</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黔江区系少数民族聚居区，为促进黔江区经济社会的全面发展，市人大常委会决定，黔江区享受本市规定的有关民族优惠政策。</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1" w:fontKey="{DCE4861A-2581-41C5-A3BD-674023466722}"/>
  </w:font>
  <w:font w:name="Tahoma">
    <w:panose1 w:val="020B0604030504040204"/>
    <w:charset w:val="00"/>
    <w:family w:val="swiss"/>
    <w:pitch w:val="default"/>
    <w:sig w:usb0="E1002EFF" w:usb1="C000605B" w:usb2="00000029" w:usb3="00000000" w:csb0="200101FF" w:csb1="20280000"/>
  </w:font>
  <w:font w:name="方正仿宋_GBK">
    <w:panose1 w:val="02000000000000000000"/>
    <w:charset w:val="86"/>
    <w:family w:val="script"/>
    <w:pitch w:val="default"/>
    <w:sig w:usb0="A00002BF" w:usb1="38CF7CFA"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2" w:fontKey="{5023EEA4-8852-4E11-B567-311B00091558}"/>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方正仿宋简体">
    <w:panose1 w:val="02000000000000000000"/>
    <w:charset w:val="86"/>
    <w:family w:val="auto"/>
    <w:pitch w:val="default"/>
    <w:sig w:usb0="A00002BF" w:usb1="184F6CFA" w:usb2="00000012" w:usb3="00000000" w:csb0="00040001"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宋体-方正超大字符集">
    <w:panose1 w:val="03000509000000000000"/>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3B6A"/>
    <w:rsid w:val="0F101043"/>
    <w:rsid w:val="235B44CA"/>
    <w:rsid w:val="2CE27A6E"/>
    <w:rsid w:val="3C6C0BF8"/>
    <w:rsid w:val="3D674243"/>
    <w:rsid w:val="407B3976"/>
    <w:rsid w:val="416472D6"/>
    <w:rsid w:val="4C464220"/>
    <w:rsid w:val="4E841B5A"/>
    <w:rsid w:val="4F2E7D65"/>
    <w:rsid w:val="4FB75BD0"/>
    <w:rsid w:val="519E0194"/>
    <w:rsid w:val="57A977DB"/>
    <w:rsid w:val="5CA50A9E"/>
    <w:rsid w:val="5E9106C4"/>
    <w:rsid w:val="678B745B"/>
    <w:rsid w:val="688947E6"/>
    <w:rsid w:val="6B15150D"/>
    <w:rsid w:val="719B098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方超</cp:lastModifiedBy>
  <cp:lastPrinted>2016-08-17T03:42:00Z</cp:lastPrinted>
  <dcterms:modified xsi:type="dcterms:W3CDTF">2017-02-17T06:28:49Z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