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镇江市河道管理条例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（2024年6月27日镇江市第九届人民代表大会常务委员会第十六次会议通过　2024年7月31日江苏省第十四届人民代表大会常务委员会第十次会议批准）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河道管理，保障防洪、抗旱和供水安全，改善河道生态环境，维护河道岸线资源，推进幸福河湖建设，发挥河道综合效益，根据《中华人民共和国水法》《中华人民共和国长江保护法》《中华人民共和国河道管理条例》《江苏省河道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本市行政区域内河道的管理、整治、保护、利用等活动，适用本条例。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本市行政区域内长江、大运河以及湖泊、水库的管理，法律、法规另有规定的，从其规定。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市、县级市（区）人民政府应当加强对河道管理工作的领导，建立健全河道管理制度，明确河道管理单位，全面实行河长制，落实河道管理保护地方主体责任。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市、县级市（区）水行政主管部门是河道的主管部门，其他有关部门根据各自职责做好河道管理工作。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市、县级市（区）人民政府应当组织水行政、自然资源和规划、生态环境、住房和城乡建设、城市管理、交通运输、农业农村等部门，开展河道管理协同保护、联合执法和信息共享等工作。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除由流域管理机构和省水行政主管部门直接管理的流域性河道外，本市河道划分为市级河道、县级河道和镇级河道。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区域性骨干河道、跨县重要河道为市级河道，由市水行政主管部门实施管理，也可以根据统一规划和管理技术要求，由县级市（区）水行政主管部门实施管理。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县域重要河道为县级河道，其他河道为镇级河道。县级河道和镇级河道由县级市（区）人民政府明确河道管理单位。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本市河道管理实行名录制度。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河道名录的确定和调整由市水行政主管部门拟定，县级河道、镇级河道名录的确定和调整由县级市（区）水行政主管部门拟定，分别经本级人民政府批准后向社会公布，并报上一级人民政府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河道名录应当包括河道名称、起止点、河道长度以及水域面积、主要功能、河道管理单位等内容。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市、县级市（区）人民政府应当按照《江苏省水利工程管理条例》的规定划定河道管理范围。与河道具有水力联系，共同发挥水利功能的沟叉、贮水湖塘洼淀等，为河道不可分割部分，应当划定为河道管理范围。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统筹规划区域水网建设，通过水系连通、生态护岸、堤防修复、滨水空间改造、清淤疏浚等措施，加强河道整治，维持河道的自然形态和历史风貌，防止水土流失和河道淤积，美化河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河道整治方案与整治情况应当及时向社会公布。河道整治工程验收合格后，有关资料应当及时移交工程管理单位，并落实管护责任。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水行政主管部门应当定期监测河道淤积情况，并根据监测情况制定清淤疏浚计划，报本级人民政府批准后实施。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河道清淤应当合理选用清淤方式，推进淤泥的减量化、资源化利用。淤泥利用应当经过无害化处理，并符合环境保护的要求。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按照河湖岸线保护规划、修复规范和指标的要求，制定并组织实施河湖岸线修复计划，定期排查河湖岸线范围内生产建设项目情况，及时整治岸线违法占用行为，保障自然岸线比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市、县级市（区）水行政主管部门应当按照管理权限，提出生态流量管理重点河道名录，会同有关部门确定生态流量管控指标，制定生态流量保障实施方案，保证河道基本生态用水需求。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市、县级市（区）水行政主管部门应当依据批准的水量分配方案和年度预测来水量，组织编制并实施年度水量分配方案和调度计划。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水行政主管部门应当建立河道巡查、督查制度，定期开展监督检查，及时制止或者查处违法行为。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水行政主管部门应当会同相关部门，建立河道水闸、泵站、堤防、护岸等涉河工程设施的运行监管制度，定期组织安全检查，及时消除安全隐患。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住房和城乡建设等部门应当会同水行政主管部门开展入河雨水排放口调查，建立基础信息档案，做好排涝泵站的运行维护工作。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在河道管理范围内，确需建设跨河、穿河、穿堤、临河的建筑物、构筑物等工程设施的，其工程建设方案以及工程位置和界限应当依法报水行政主管部门批准。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设施开工前，建设单位或者个人应当将施工方案报水行政主管部门备案，并按照施工方案施工，承担施工期间和施工范围内的防汛和安全工作。工程设施完工后，及时报水行政主管部门核查位置和界限。水行政主管部门应当制定监管方案，对工程设施施工进行全程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工程设施建设占用河道管理范围的，依法有偿使用，具体办法由市人民政府另行制定。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严格落实排污许可证制度，会同水行政、住房和城乡建设等部门开展入河排污口排查，明确责任主体，加强对入河污染源的监管，建立排污口档案，进行分类整治，加强动态监测。对不符合有关规定的排污口，应当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市人民政府应当建立跨县重要河道断面水质交接责任制，县级市（区）人民政府应当逐步建立县域重要河道断面水质交接责任制。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市生态环境主管部门应当根据跨县重要河道断面水质交接责任制的要求，制定水质监测方案，定期进行监测，并将监测结果向社会公布。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各级人民政府应当建立政府主导、各方参与的共建共治共享机制，综合整治农村河道，推进生态清洁小流域建设，强化资金保障，持续改善农村人居环境。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区）人民政府应当加强对农村河道管护工作的组织领导，建立健全农村河道的定期轮浚机制。县级市（区）水行政主管部门应当在本条例施行后二年内完成本行政区域内农村水系、水域状况、开发利用等基础情况调查工作，并根据调查情况制定农村河道的轮浚计划，报本级人民政府批准后实施。市水行政主管部门应当加强指导和监督，市级财政按照有关规定给予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镇人民政府、街道办事处应当落实农村河道管护责任制和责任人员，加强水面清洁、堤坡整洁、河道畅通、水域安全等日常巡查，探索农村河道管护市场化运作，巩固农村河道治理成果。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本条所称农村河道，包括农村地区的县级河道、镇级河道以及村庄河塘。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会同文化广电和旅游等部门定期开展涉河历史文化遗存普查，对具有重要历史文化价值的古河道、桥梁、水闸、码头、围垦遗迹等建筑物、构筑物以及历史遗迹编制保护名录，明确保护范围和标准，报本级人民政府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市、县级市（区）人民政府应当加强涉河历史文化遗迹保护和修复工作，发挥保护对象在公共服务、文化展示、参观游览等方面的功能，推动形成特有文化印记、文化符号和文化业态，促进活化利用。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自然资源和规划、生态环境、住房和城乡建设、城市管理、水行政、文化广电和旅游等部门，有序开展古运河生态环境修复，针对古运河做好城市设计，实施文化遗产保护展示、绿色生态廊道建设、文化旅游融合提升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市人民政府应当加强古运河沿线污水处理设施的建设与改造，禁止新设入河排污口，逐步减少现有排污口，提高古运河水环境承载能力。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市、县级市（区）人民政府应当建立健全水文化公共服务体系，开放水利水运工程非核心区域场所，普及水情和水文化知识。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水行政主管部门应当推进水利风景区、亲水乐水载体等建设，丰富水文化展示形态。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文化广电和旅游主管部门应当推广河湖生态和文化旅游，鼓励市场主体开发新型亲水乐水娱乐休闲项目，有关部门应当予以配合。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市体育主管部门应当会同县级市（区）人民政府、市有关部门确定可以开展水上运动的河道（段）及水上运动项目，推动水上运动产业发展。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水行政等部门应当依法公开河道管理相关信息，完善公众参与机制，鼓励、引导和支持公民、法人和其他组织开展河道保护志愿服务。河道管理单位可以通过设立民间河长、政府购买服务等方式，实行河道日常管理社会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擅自围垦河道。擅自围垦河道的，由水行政主管部门责令停止违法行为，恢复原状或者采取其他补救措施，可以处一万元以上五万元以下的罚款；既不恢复原状也不采取其他补救措施的，由水行政主管部门代为恢复原状或者采取其他补救措施，所需费用由违法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对已经擅自围垦河道的，由水行政主管部门会同生态环境、自然资源和规划、农业农村等部门提出清退方案，报本级人民政府批准后实施。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在河道管理范围内，禁止向水体排放、倾倒工业废渣、城镇垃圾或者其他废弃物，以及排放油类、酸液、碱液或者剧毒废液。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违反前款规定，由生态环境主管部门责令停止违法行为，限期采取治理措施，消除污染；逾期不采取治理措施的，生态环境主管部门可以指定有治理能力的单位代为治理，所需费用由违法者承担。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河道管理范围内向水体排放、倾倒工业废渣、城镇垃圾或者其他废弃物的，由生态环境主管部门处二万元以上二十万元以下的罚款。在河道管理范围内向水体排放油类、酸液、碱液或者剧毒废液的，由生态环境主管部门处十万元以上一百万元以下的罚款；情节严重的，报经有批准权的人民政府批准，责令停业、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禁止在河道管理范围内养殖、投放、丢弃外来物种或者其他非本地物种种质资源。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违反前款规定，由农业农村主管部门依照《中华人民共和国生物安全法》《中华人民共和国长江保护法》等有关规定处理。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河道及其配套工程设施损坏、影响河道及其配套工程设施发挥正常功能的，水行政主管部门应当责令相关单位或者个人修复、恢复；相关单位或者个人逾期不履行，经催告仍不履行，水行政主管部门可以依法代履行或者委托没有利害关系的第三人代履行，代履行的费用依法由相关单位或者个人承担。造成损失的，应当承担损害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依照有关法律、法规和本条例规定，被行政处罚的单位或者个人，不免除其承担排除妨碍和赔偿损失等民事责任。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