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561" w:rsidRPr="00726ACD" w:rsidRDefault="00E86561" w:rsidP="00E86561">
      <w:pPr>
        <w:pStyle w:val="a3"/>
        <w:spacing w:line="560" w:lineRule="exact"/>
        <w:jc w:val="center"/>
        <w:rPr>
          <w:rFonts w:hAnsi="宋体" w:cs="宋体" w:hint="eastAsia"/>
          <w:sz w:val="48"/>
          <w:szCs w:val="48"/>
        </w:rPr>
      </w:pPr>
      <w:r w:rsidRPr="00726ACD">
        <w:rPr>
          <w:rFonts w:hAnsi="宋体" w:cs="宋体" w:hint="eastAsia"/>
          <w:sz w:val="48"/>
          <w:szCs w:val="48"/>
        </w:rPr>
        <w:t>长春市文物保护条例</w:t>
      </w:r>
    </w:p>
    <w:p w:rsidR="00E86561" w:rsidRDefault="00E86561" w:rsidP="00E86561">
      <w:pPr>
        <w:pStyle w:val="a3"/>
        <w:spacing w:line="560" w:lineRule="exact"/>
        <w:rPr>
          <w:rFonts w:ascii="仿宋_GB2312" w:eastAsia="仿宋_GB2312" w:cs="宋体" w:hint="eastAsia"/>
          <w:sz w:val="32"/>
          <w:szCs w:val="32"/>
        </w:rPr>
      </w:pPr>
    </w:p>
    <w:p w:rsidR="00E86561" w:rsidRPr="00726ACD" w:rsidRDefault="00E86561" w:rsidP="00E86561">
      <w:pPr>
        <w:pStyle w:val="a3"/>
        <w:spacing w:line="560" w:lineRule="exact"/>
        <w:ind w:leftChars="285" w:left="598" w:rightChars="268" w:right="563" w:firstLineChars="200" w:firstLine="640"/>
        <w:rPr>
          <w:rFonts w:ascii="楷体_GB2312" w:eastAsia="楷体_GB2312" w:cs="宋体" w:hint="eastAsia"/>
          <w:sz w:val="32"/>
          <w:szCs w:val="32"/>
        </w:rPr>
      </w:pPr>
      <w:r w:rsidRPr="00726ACD">
        <w:rPr>
          <w:rFonts w:ascii="楷体_GB2312" w:eastAsia="楷体_GB2312" w:cs="宋体" w:hint="eastAsia"/>
          <w:sz w:val="32"/>
          <w:szCs w:val="32"/>
        </w:rPr>
        <w:t>（2011年12月17日长春市第十三届人民代表大会常务委员会第三十二次会议</w:t>
      </w:r>
      <w:r>
        <w:rPr>
          <w:rFonts w:ascii="楷体_GB2312" w:eastAsia="楷体_GB2312" w:cs="宋体" w:hint="eastAsia"/>
          <w:sz w:val="32"/>
          <w:szCs w:val="32"/>
        </w:rPr>
        <w:t>通过</w:t>
      </w:r>
      <w:r w:rsidRPr="00726ACD">
        <w:rPr>
          <w:rFonts w:ascii="楷体_GB2312" w:eastAsia="楷体_GB2312" w:cs="宋体" w:hint="eastAsia"/>
          <w:sz w:val="32"/>
          <w:szCs w:val="32"/>
        </w:rPr>
        <w:t xml:space="preserve"> 2012年3月23日 吉林省第十一届人民代表大会常务委员会第三十一次会议批准）</w:t>
      </w:r>
    </w:p>
    <w:p w:rsidR="00E86561" w:rsidRDefault="00E86561" w:rsidP="00E86561">
      <w:pPr>
        <w:pStyle w:val="a3"/>
        <w:spacing w:line="560" w:lineRule="exact"/>
        <w:ind w:firstLineChars="200" w:firstLine="640"/>
        <w:rPr>
          <w:rFonts w:ascii="仿宋_GB2312" w:eastAsia="仿宋_GB2312" w:cs="宋体" w:hint="eastAsia"/>
          <w:sz w:val="32"/>
          <w:szCs w:val="32"/>
        </w:rPr>
      </w:pP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为加强对文物的保护,根据《中华人民共和国文物保护法》和《吉林省文物保护条例》等法律、法规，结合本市实际，制定本条例。</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本条例适用于本市行政区域内的文物保护。</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本市行政区域内的下列文物，依法受到保护：</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（一）具有历史、艺术、科学价值的古文化遗址、古墓葬、古建筑、石窟寺、石刻、壁画；</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（二）与重大历史事件、革命运动或者著名人物有关的以及具有重要纪念意义、教育意义、史料价值、警示性文化价值的近现代重要史迹、实物、代表性建筑；</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（三）历史上各时代珍贵的艺术品、工艺美术品；</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（四）历史上各时代重要的文献资料以及具有历史、艺术、科学价值的手稿和图书资料等；</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（五）反映历史上各时代、各民族社会制度、社会生产、社会生活和体现工业历史文化内涵的代表性实物。</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具有科学价值的古脊椎动物化石和古人类化石同文物一样受国家保护。</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第四条</w:t>
      </w:r>
      <w:r>
        <w:rPr>
          <w:rFonts w:ascii="仿宋_GB2312" w:eastAsia="仿宋_GB2312" w:cs="宋体" w:hint="eastAsia"/>
          <w:sz w:val="32"/>
          <w:szCs w:val="32"/>
        </w:rPr>
        <w:t xml:space="preserve"> 市、县(市)人民政府负责本行政区域内的文物保护工作。</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市、县(市)文物主管部门对本行政区域内的文物保护实施监督管理，负责制定文物保护规划和计划，指导文物保护工作。</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市、县(市)人民政府有关部门应当按照各自职责，依法做好文物保护工作。</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文物保护工作应当贯彻保护为主、抢救第一、合理利用、依法管理的方针，遵循政府主导、社会参与、属地管理的原则。</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市、县(市)人民政府应当将文物保护事业纳入本级国民经济和社会发展规划，将文物保护规划纳入城市总体规划。文物保护事业所需经费列入本级财政预算，并随着财政收入增长而增加。</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文物保护维修所需专项经费由财政部门予以安排，专款专用。</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市、县（市）人民政府应当建立文物普查制度，定期组织开展文物普查工作。</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县（市）文物主管部门负责普查登记，并将普查结果及时报市文物主管部门备案。</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市、县（市）文物主管部门和教育、科技、新闻出版、广播电视等部门，应当协调合作，明确责任，共同做好文物保护的宣传教育工作，增强全社会的文物保护意识。</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任何单位和个人都有依法保护文物的义务，并</w:t>
      </w:r>
      <w:r>
        <w:rPr>
          <w:rFonts w:ascii="仿宋_GB2312" w:eastAsia="仿宋_GB2312" w:cs="宋体" w:hint="eastAsia"/>
          <w:sz w:val="32"/>
          <w:szCs w:val="32"/>
        </w:rPr>
        <w:lastRenderedPageBreak/>
        <w:t>有权对危害文物安全的行为进行揭发、检举或者举报。</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对保护文物</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显著成绩的单位和个人，由市、县（市）人民政府给予表彰、奖励。</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古文化遗址、古墓葬、古建筑、石窟寺、石刻、壁画、近代现代重要史迹和代表性建筑等不可移动文物，根据其历史、艺术、科学价值，可以分别确定为全国重点文物保护单位，省级文物保护单位，市级文物保护单位和县级文物保护单位。</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需要确定为全国重点文物保护单位、省级文物保护单位的，市、县（市）文物主管部门应当按照国家有关规定程序上报。</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市级文物保护单位、县级文物保护单位，由市、县（市）文物主管部门报同级人民政府核定公布，并报省人民政府备案。</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尚未核定公布为文物保护单位的不可移动文物，由市、县（市）文物主管部门予以登记并公布。</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市、县（市）人民政府应当自文物保护单位公布之日起一年内，划定公布本级文物保护单位的保护范围，做出标志说明，建立记录档案，设置专门机构或者指定专人负责管理。</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本条例实施前，市级、县级文物保护单位保护范围尚未划定公布的，市、县（市）人民政府应当自本条例实施之日起一年内组织划定公布。</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在文物保护单位的保护范围内，不得进行下</w:t>
      </w:r>
      <w:r>
        <w:rPr>
          <w:rFonts w:ascii="仿宋_GB2312" w:eastAsia="仿宋_GB2312" w:cs="宋体" w:hint="eastAsia"/>
          <w:sz w:val="32"/>
          <w:szCs w:val="32"/>
        </w:rPr>
        <w:lastRenderedPageBreak/>
        <w:t>列活动：</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w:t>
      </w:r>
      <w:proofErr w:type="gramStart"/>
      <w:r>
        <w:rPr>
          <w:rFonts w:ascii="仿宋_GB2312" w:eastAsia="仿宋_GB2312" w:cs="宋体" w:hint="eastAsia"/>
          <w:sz w:val="32"/>
          <w:szCs w:val="32"/>
        </w:rPr>
        <w:t>刻划</w:t>
      </w:r>
      <w:proofErr w:type="gramEnd"/>
      <w:r>
        <w:rPr>
          <w:rFonts w:ascii="仿宋_GB2312" w:eastAsia="仿宋_GB2312" w:cs="宋体" w:hint="eastAsia"/>
          <w:sz w:val="32"/>
          <w:szCs w:val="32"/>
        </w:rPr>
        <w:t>、涂污或者损坏文物，损毁、移动文物保护单位标志；</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（二）存放或者排放危害文物安全的易燃易爆和腐蚀性物品；</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（三）从事取土、挖沙、采石和修筑沟渠等活动；</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（四）修建墓地或者埋藏骨灰；</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（五）其他有损文物或者可能危及文物安全的活动。</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文物保护单位的保护范围内，未经批准不得进行其他建设工程或者爆破、钻探、挖掘等作业。</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因特殊情况需要在文物保护单位的保护范围内进行其他建设工程或者爆破、钻探、挖掘等作业的，应当在事前经核定公布该文物保护单位的人民政府批准，在批准前应当征得上一级人民政府文物主管部门同意。</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在全国重点文物保护单位的保护范围内进行其他建设工程或者爆破、钻探、挖掘等作业的，应当报省人民政府批准。</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进行建设或者作业的单位，应当按照经批准的施工方案施工，保证文物保护单位的安全。</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市、县（市）文物主管部门应当根据文物保护的实际需要，会同规划部门在文物保护单位周边划定建设控制地带，经本级人民政府批准后予以公布，并报上一级人民政府文物主管部门备案。</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在文物保护单位的建设控制地带内新建、改建、扩建建</w:t>
      </w:r>
      <w:r>
        <w:rPr>
          <w:rFonts w:ascii="仿宋_GB2312" w:eastAsia="仿宋_GB2312" w:cs="宋体" w:hint="eastAsia"/>
          <w:sz w:val="32"/>
          <w:szCs w:val="32"/>
        </w:rPr>
        <w:lastRenderedPageBreak/>
        <w:t>筑物和其他设施，其风格、高度、体量、色调应当与文物保护单位相协调，不得破坏文物保护单位的历史风貌，其设计方案应当根据文物保护单位的级别，经相应的文物主管部门同意后，</w:t>
      </w:r>
      <w:proofErr w:type="gramStart"/>
      <w:r>
        <w:rPr>
          <w:rFonts w:ascii="仿宋_GB2312" w:eastAsia="仿宋_GB2312" w:cs="宋体" w:hint="eastAsia"/>
          <w:sz w:val="32"/>
          <w:szCs w:val="32"/>
        </w:rPr>
        <w:t>报规划</w:t>
      </w:r>
      <w:proofErr w:type="gramEnd"/>
      <w:r>
        <w:rPr>
          <w:rFonts w:ascii="仿宋_GB2312" w:eastAsia="仿宋_GB2312" w:cs="宋体" w:hint="eastAsia"/>
          <w:sz w:val="32"/>
          <w:szCs w:val="32"/>
        </w:rPr>
        <w:t>部门批准。</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保存文物丰富并且具有重大历史价值或者革命纪念意义的城镇、街道、村庄，由市人民政府报经省人民政府核定公布为历史文化街区、村镇。</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历史文化街区、村镇所在地人民政府应当组织编制专门的历史文化街区、村镇保护规划，并纳入城市总体规划。</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经核定公布的历史文化街区、村镇，不得改变其原有的历史风貌。因特殊情况，需要局部调整的，应当报核定公布的人民政府批准。</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国有不可移动文物的使用单位为文物保护责任人；没有使用单位的，由市、县（市）人民政府确定文物保护责任人。</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非国有不可移动文物的所有人为文物保护责任人。</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文物保护责任人为法人的，发生解散、合并、分立、破产等情况时，应当在变更前三十日内向市、县（市）文物主管部门报告。</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文物保护责任人应当与市、县（市）文物主管部门签订文物保护责任书，责任书应当具有以下内容：</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（一）使用方式和范围；</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（二）使用期间的保护责任和标准；</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（三）具体保护措施；</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（四）文物保护责任人的法律责任。</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不可移动文物的修缮、保养，由文物保护责任人负责。</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文物保护责任人需对不可移动文物进行修缮、保养的，应当向市、县（市）文物主管部门提出申请，根据文物保护单位的级别由相应的文物主管部门批准；对未核定为文物保护单位的不可移动文物进行修缮，应当报登记的市、县（市）人民政府文物主管部门批准。</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不可移动文物有损毁危险，文物保护责任人不具备修缮、保养能力的，市、县（市）人民政府应当帮助修缮、保养；文物保护责任人具备修缮、保养能力而拒不履行修缮、保养义务的，市、县（市）人民政府应当组织抢救修缮、保养，所需费用由文物保护责任人负担。</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不可移动文物的修缮、保养，应当按照国家相关技术规范进行，并由具有相应资质的单位承担勘察设计、施工、监理。</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不可移动文物修缮时，文物主管部门应当对施工单位的资质进行查验。施工单位应当按照修缮方案施工，并接受当地及上级文物主管部门的监督。工程竣工后，由相应的文物主管部门进行验收。</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不可移动文物在修缮、保养时，不得改变其外观风貌、结构体系和基本空间布局。</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文物保护责任人应当依法建立安全保卫和消防管理制度，配置必要的安全、消防设施，并接受文物主</w:t>
      </w:r>
      <w:r>
        <w:rPr>
          <w:rFonts w:ascii="仿宋_GB2312" w:eastAsia="仿宋_GB2312" w:cs="宋体" w:hint="eastAsia"/>
          <w:sz w:val="32"/>
          <w:szCs w:val="32"/>
        </w:rPr>
        <w:lastRenderedPageBreak/>
        <w:t>管部门和公安及消防部门的监督、检查和指导。</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已向公众开放的博物馆、参观游览场所等不可移动文物，不得擅自改变其用途；因特殊情况需要改变用途的，应当依据文物保护单位级别，经相应文物主管部门同意，并报同级人民政府批准。</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建设工程或者农业生产中，任何单位或者个人发现文物，应当保护现场，并立即报告文物主管部门。</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文物主管部门接到报告后，应当在二十四小时内赶赴现场，并在七个工作日内提出处理意见，发现重要文物的，应当立即上报。</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文物主管部门可以报请当地人民政府，由公安机关协助保护现场。</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国有博物馆、纪念馆、图书馆、文物保护研究所、高等院校等文物收藏单位，应当按照国家规定，建立馆藏文物的接收、鉴定、编目和档案制度，库房管理制度，出入库、注销和统计制度，保养、修复和复制制度。</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文物收藏单位应有文物藏品专用库房及专职库房保管人员，配备必要的安全防范设施，确保文物安全。</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文物收藏单位对所收藏的文物的数量、种类、现状以及毁损、灭失等状况应当按照规定及时报市文物主管部门备案。</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国有文物收藏单位的文物藏品，禁止出卖、赠与、出租或者擅自注销编号。文物藏品的调拨、交换、借用，应当依法履行报批手续。</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鼓励文物收藏者将其收藏的文物捐赠、出借给国有文物</w:t>
      </w:r>
      <w:r>
        <w:rPr>
          <w:rFonts w:ascii="仿宋_GB2312" w:eastAsia="仿宋_GB2312" w:cs="宋体" w:hint="eastAsia"/>
          <w:sz w:val="32"/>
          <w:szCs w:val="32"/>
        </w:rPr>
        <w:lastRenderedPageBreak/>
        <w:t>收藏单位。</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公安、工商、海关等部门应当依法打击盗掘、走私文物的行为，取缔非法文物经营活动；依法没收和查获的文物，应妥善保管并登记在册，并在结案后无偿移交文物主管部门指定的单位收藏、保管。</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公民、法人和其他组织不得买卖下列文物：</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（一）国有文物，但是国家允许的除外；</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（二）非国有馆藏珍贵文物；</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（三）国有不可移动文物中的壁画、雕塑、建筑构件等；</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（四）通过法律规定方式以外的其他途径取得的文物。</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违反本条例</w:t>
      </w:r>
      <w:r w:rsidRPr="000559C5">
        <w:rPr>
          <w:rFonts w:ascii="仿宋_GB2312" w:eastAsia="仿宋_GB2312" w:cs="宋体" w:hint="eastAsia"/>
          <w:sz w:val="32"/>
          <w:szCs w:val="32"/>
        </w:rPr>
        <w:t>第十二条第一项规定</w:t>
      </w:r>
      <w:r>
        <w:rPr>
          <w:rFonts w:ascii="仿宋_GB2312" w:eastAsia="仿宋_GB2312" w:cs="宋体" w:hint="eastAsia"/>
          <w:sz w:val="32"/>
          <w:szCs w:val="32"/>
        </w:rPr>
        <w:t>，</w:t>
      </w:r>
      <w:proofErr w:type="gramStart"/>
      <w:r>
        <w:rPr>
          <w:rFonts w:ascii="仿宋_GB2312" w:eastAsia="仿宋_GB2312" w:cs="宋体" w:hint="eastAsia"/>
          <w:sz w:val="32"/>
          <w:szCs w:val="32"/>
        </w:rPr>
        <w:t>刻划</w:t>
      </w:r>
      <w:proofErr w:type="gramEnd"/>
      <w:r>
        <w:rPr>
          <w:rFonts w:ascii="仿宋_GB2312" w:eastAsia="仿宋_GB2312" w:cs="宋体" w:hint="eastAsia"/>
          <w:sz w:val="32"/>
          <w:szCs w:val="32"/>
        </w:rPr>
        <w:t>、涂污或者损坏文物尚不严重的，或者损毁、擅自移动文物保护单位标志的，由文物主管部门给予警告，责令恢复原状，可以并处二百元以下罚款；构成违反治安管理行为的，由公安机关依法给予处罚；造成文物灭失、损毁的，依法承担民事责任；构成犯罪的，依法追究刑事责任。</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违反本条例</w:t>
      </w:r>
      <w:r w:rsidRPr="000559C5">
        <w:rPr>
          <w:rFonts w:ascii="仿宋_GB2312" w:eastAsia="仿宋_GB2312" w:cs="宋体" w:hint="eastAsia"/>
          <w:sz w:val="32"/>
          <w:szCs w:val="32"/>
        </w:rPr>
        <w:t>第十二条第三项规定</w:t>
      </w:r>
      <w:r>
        <w:rPr>
          <w:rFonts w:ascii="仿宋_GB2312" w:eastAsia="仿宋_GB2312" w:cs="宋体" w:hint="eastAsia"/>
          <w:sz w:val="32"/>
          <w:szCs w:val="32"/>
        </w:rPr>
        <w:t>，在文物保护单位的保护范围内从事取土、挖沙、采石和修筑沟渠等活动的，由文物主管部门责令改正；对文物造成损坏后果严重的，处五万元以上五十万元以下罚款。</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违反本条例</w:t>
      </w:r>
      <w:r w:rsidRPr="000559C5">
        <w:rPr>
          <w:rFonts w:ascii="仿宋_GB2312" w:eastAsia="仿宋_GB2312" w:cs="宋体" w:hint="eastAsia"/>
          <w:sz w:val="32"/>
          <w:szCs w:val="32"/>
        </w:rPr>
        <w:t>第十三条、第十四条、第十九条、第二十条规定，有下列行为之一的，由文物</w:t>
      </w:r>
      <w:r>
        <w:rPr>
          <w:rFonts w:ascii="仿宋_GB2312" w:eastAsia="仿宋_GB2312" w:cs="宋体" w:hint="eastAsia"/>
          <w:sz w:val="32"/>
          <w:szCs w:val="32"/>
        </w:rPr>
        <w:t>主管部门责令改正，造成严重后果的，处五万元以上五十万元以下的罚款；构成犯罪的，依法追究刑事责任。</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（一）擅自在文物保护单位的保护范围内进行其他建设工程或者爆破、钻探、挖掘等作业；</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（二）在文物保护单位的建设控制地带内进行建设工程，其设计方案未经文物主管部门同意和规划部门批准，对文物保护单位的历史风貌造成破坏；</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（三）擅自拆除不可移动文物；</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（四）擅自修缮文物保护单位，明显改变其外观风貌、结构体系和基本空间布局；</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（五）未取得相应资质证书的施工单位，擅自从事文物修缮。</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违反本条</w:t>
      </w:r>
      <w:r w:rsidRPr="000559C5">
        <w:rPr>
          <w:rFonts w:ascii="仿宋_GB2312" w:eastAsia="仿宋_GB2312" w:cs="宋体" w:hint="eastAsia"/>
          <w:sz w:val="32"/>
          <w:szCs w:val="32"/>
        </w:rPr>
        <w:t>例第二十七条规定，买卖国家禁</w:t>
      </w:r>
      <w:r>
        <w:rPr>
          <w:rFonts w:ascii="仿宋_GB2312" w:eastAsia="仿宋_GB2312" w:cs="宋体" w:hint="eastAsia"/>
          <w:sz w:val="32"/>
          <w:szCs w:val="32"/>
        </w:rPr>
        <w:t>止买卖的文物，尚不构成犯罪的，由文物主管部门责令改正，没收违法所得，违法经营额一万元以上的，并处违法经营额二倍以上五倍以下的罚款；违法经营额不足一万元的，并处五千元以上二万元以下的罚款。</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第三十二条</w:t>
      </w:r>
      <w:r>
        <w:rPr>
          <w:rFonts w:ascii="仿宋_GB2312" w:eastAsia="仿宋_GB2312" w:cs="宋体" w:hint="eastAsia"/>
          <w:sz w:val="32"/>
          <w:szCs w:val="32"/>
        </w:rPr>
        <w:t xml:space="preserve"> 文物主管部门和其他相关部门的工作人员，违反本条例规定滥用职权、玩忽职守、徇私舞弊的，由有关部门依法给予行政处分；构成犯罪的，依法追究刑事责任。</w:t>
      </w:r>
    </w:p>
    <w:p w:rsidR="00E86561" w:rsidRDefault="00E86561" w:rsidP="00E86561">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第三十三条</w:t>
      </w:r>
      <w:r>
        <w:rPr>
          <w:rFonts w:ascii="仿宋_GB2312" w:eastAsia="仿宋_GB2312" w:cs="宋体" w:hint="eastAsia"/>
          <w:sz w:val="32"/>
          <w:szCs w:val="32"/>
        </w:rPr>
        <w:t xml:space="preserve"> 本条例自2012年6月1日起施行。</w:t>
      </w:r>
    </w:p>
    <w:p w:rsidR="008A1679" w:rsidRPr="00E86561" w:rsidRDefault="008A1679"/>
    <w:sectPr w:rsidR="008A1679" w:rsidRPr="00E86561"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86561"/>
    <w:rsid w:val="008A1679"/>
    <w:rsid w:val="00E865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6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E86561"/>
    <w:rPr>
      <w:rFonts w:ascii="宋体" w:eastAsia="宋体" w:hAnsi="Times New Roman" w:cs="Courier New"/>
      <w:szCs w:val="21"/>
    </w:rPr>
  </w:style>
  <w:style w:type="character" w:customStyle="1" w:styleId="Char">
    <w:name w:val="纯文本 Char"/>
    <w:basedOn w:val="a0"/>
    <w:link w:val="a3"/>
    <w:rsid w:val="00E86561"/>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2017-02-10T04:17:00Z</dcterms:created>
  <dcterms:modified xsi:type="dcterms:W3CDTF">2017-02-10T04:17:00Z</dcterms:modified>
</cp:coreProperties>
</file>