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spacing w:line="720" w:lineRule="exact"/>
        <w:jc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门源回族自治县森林保护管理条例</w:t>
      </w:r>
    </w:p>
    <w:p>
      <w:pPr>
        <w:spacing w:line="500" w:lineRule="exact"/>
        <w:jc w:val="center"/>
        <w:rPr>
          <w:rFonts w:ascii="楷体_GB2312" w:hAnsi="楷体_GB2312" w:eastAsia="楷体_GB2312" w:cs="楷体_GB2312"/>
          <w:b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632" w:leftChars="200" w:right="632" w:rightChars="200" w:firstLine="0" w:firstLineChars="0"/>
        <w:jc w:val="both"/>
        <w:textAlignment w:val="auto"/>
        <w:outlineLvl w:val="9"/>
        <w:rPr>
          <w:rFonts w:ascii="楷体_GB2312" w:hAnsi="楷体_GB2312" w:eastAsia="楷体_GB2312" w:cs="楷体_GB2312"/>
          <w:b w:val="0"/>
          <w:bCs/>
          <w:sz w:val="32"/>
          <w:szCs w:val="32"/>
        </w:rPr>
      </w:pPr>
      <w:r>
        <w:rPr>
          <w:rFonts w:hint="eastAsia" w:ascii="楷体_GB2312" w:hAnsi="楷体_GB2312" w:eastAsia="楷体_GB2312" w:cs="楷体_GB2312"/>
          <w:b w:val="0"/>
          <w:bCs/>
          <w:sz w:val="32"/>
          <w:szCs w:val="32"/>
        </w:rPr>
        <w:t>（2018年6月25日门源回族自治县第十七届人民代表大会第四次会议通过  2018年9月18日青海省第十三届人民代表大会常务委员会第六次会议批准</w:t>
      </w:r>
      <w:bookmarkStart w:id="0" w:name="_GoBack"/>
      <w:bookmarkEnd w:id="0"/>
      <w:r>
        <w:rPr>
          <w:rFonts w:hint="eastAsia" w:ascii="楷体_GB2312" w:hAnsi="楷体_GB2312" w:eastAsia="楷体_GB2312" w:cs="楷体_GB2312"/>
          <w:b w:val="0"/>
          <w:bCs/>
          <w:sz w:val="32"/>
          <w:szCs w:val="32"/>
        </w:rPr>
        <w:t>）</w:t>
      </w:r>
    </w:p>
    <w:p>
      <w:pPr>
        <w:spacing w:line="500" w:lineRule="exact"/>
        <w:rPr>
          <w:rFonts w:ascii="仿宋_GB2312" w:eastAsia="仿宋_GB2312"/>
          <w:b/>
          <w:sz w:val="30"/>
          <w:szCs w:val="30"/>
        </w:rPr>
      </w:pPr>
    </w:p>
    <w:p>
      <w:pPr>
        <w:spacing w:line="600" w:lineRule="exact"/>
        <w:ind w:firstLine="632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第一条</w:t>
      </w:r>
      <w:r>
        <w:rPr>
          <w:rFonts w:hint="eastAsia" w:ascii="仿宋_GB2312" w:eastAsia="仿宋_GB2312"/>
          <w:sz w:val="32"/>
          <w:szCs w:val="32"/>
        </w:rPr>
        <w:t xml:space="preserve"> </w:t>
      </w:r>
      <w:r>
        <w:rPr>
          <w:rFonts w:hint="eastAsia" w:ascii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</w:rPr>
        <w:t>为了加强生态文明建设，守护绿水青山，建设美丽门源，保护、培育和合理利用森林资源，促进林业可持续发展，根据《中华人民共和国森林法》等法律、法规规定，结合本县实际，制定本条例。</w:t>
      </w:r>
    </w:p>
    <w:p>
      <w:pPr>
        <w:spacing w:line="600" w:lineRule="exact"/>
        <w:ind w:firstLine="632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第二条 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sz w:val="32"/>
          <w:szCs w:val="32"/>
        </w:rPr>
        <w:t>本条例适用于本县行政区域内从事森林、林木的培育种植、采伐利用以及森林、林木、林地的保护管理活动。</w:t>
      </w:r>
    </w:p>
    <w:p>
      <w:pPr>
        <w:spacing w:line="600" w:lineRule="exact"/>
        <w:ind w:firstLine="632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第三条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法律、法规对森林保护管理已</w:t>
      </w:r>
      <w:r>
        <w:rPr>
          <w:rFonts w:hint="eastAsia" w:ascii="仿宋_GB2312" w:eastAsia="仿宋_GB2312"/>
          <w:sz w:val="32"/>
          <w:szCs w:val="32"/>
        </w:rPr>
        <w:t>有规定的，从其规定。</w:t>
      </w:r>
    </w:p>
    <w:p>
      <w:pPr>
        <w:spacing w:line="600" w:lineRule="exact"/>
        <w:ind w:firstLine="632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第四条 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自然人、法人和非法人组织可以通过承包、租赁、拍卖、股份合作等方式，依法取得宜林荒山荒地的土地承包经营权开展植树造林。</w:t>
      </w:r>
    </w:p>
    <w:p>
      <w:pPr>
        <w:spacing w:line="600" w:lineRule="exact"/>
        <w:ind w:firstLine="632" w:firstLineChars="200"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县人民政府林业主管部门在种苗、技术、资金、林业有害生物防治等方面给予土地承包经营权人必要的支持。</w:t>
      </w:r>
    </w:p>
    <w:p>
      <w:pPr>
        <w:spacing w:line="600" w:lineRule="exact"/>
        <w:ind w:firstLine="632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违反法律法规规定或者承包合同约定，未进行植树造林或者改变承包土地性质的，发包方有权依法收回土地承包经营权。</w:t>
      </w:r>
    </w:p>
    <w:p>
      <w:pPr>
        <w:spacing w:line="600" w:lineRule="exact"/>
        <w:ind w:firstLine="632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第五条 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sz w:val="32"/>
          <w:szCs w:val="32"/>
        </w:rPr>
        <w:t>每年春季和秋季，县、乡（镇）人民政府应当按照造林规划，组织开展造林绿化活动，有植树义务的公民应当完成规定的义务植树任务。</w:t>
      </w:r>
    </w:p>
    <w:p>
      <w:pPr>
        <w:spacing w:line="600" w:lineRule="exact"/>
        <w:ind w:firstLine="632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第六条 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32"/>
          <w:szCs w:val="32"/>
        </w:rPr>
        <w:t>个人之间、个人与单位之间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发生的林木、林地所有权和使用权争议，</w:t>
      </w:r>
      <w:r>
        <w:rPr>
          <w:rFonts w:hint="eastAsia" w:ascii="仿宋_GB2312" w:eastAsia="仿宋_GB2312"/>
          <w:sz w:val="32"/>
          <w:szCs w:val="32"/>
        </w:rPr>
        <w:t>由当地乡（镇）人民政府依法处理。</w:t>
      </w:r>
    </w:p>
    <w:p>
      <w:pPr>
        <w:spacing w:line="600" w:lineRule="exact"/>
        <w:ind w:firstLine="632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第七条 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sz w:val="32"/>
          <w:szCs w:val="32"/>
        </w:rPr>
        <w:t>每年十月一日至翌年五月三十一日为高火险森林防火期，</w:t>
      </w:r>
      <w:r>
        <w:rPr>
          <w:rFonts w:hint="eastAsia" w:ascii="仿宋_GB2312" w:hAnsi="仿宋_GB2312" w:eastAsia="仿宋_GB2312" w:cs="仿宋_GB2312"/>
          <w:sz w:val="32"/>
          <w:szCs w:val="32"/>
        </w:rPr>
        <w:t>在森林防火区内</w:t>
      </w:r>
      <w:r>
        <w:rPr>
          <w:rFonts w:hint="eastAsia" w:ascii="仿宋_GB2312" w:eastAsia="仿宋_GB2312"/>
          <w:sz w:val="32"/>
          <w:szCs w:val="32"/>
        </w:rPr>
        <w:t>禁止一切野外用火，</w:t>
      </w:r>
      <w:r>
        <w:rPr>
          <w:rFonts w:hint="eastAsia" w:ascii="仿宋_GB2312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对可能引起森林火灾的居民生活用火应当严格管理。</w:t>
      </w:r>
    </w:p>
    <w:p>
      <w:pPr>
        <w:spacing w:line="600" w:lineRule="exact"/>
        <w:ind w:firstLine="632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第八条 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sz w:val="32"/>
          <w:szCs w:val="32"/>
        </w:rPr>
        <w:t>县人民政府依据林业发展长远规划和年度计划划定禁牧区，并发布禁牧令。</w:t>
      </w:r>
    </w:p>
    <w:p>
      <w:pPr>
        <w:spacing w:line="600" w:lineRule="exact"/>
        <w:ind w:firstLine="632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禁止在未成林造林地、幼林地、封山育林区、退耕还林（草）地等区域放牧。</w:t>
      </w:r>
    </w:p>
    <w:p>
      <w:pPr>
        <w:spacing w:line="600" w:lineRule="exact"/>
        <w:ind w:firstLine="632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禁牧区乡（镇）人民政府应当积极引导农牧民群众发展多种经营，调整农牧业产业结构，改进生产方式，实行舍饲养殖，制定保护禁牧区林木的乡规民约。</w:t>
      </w:r>
    </w:p>
    <w:p>
      <w:pPr>
        <w:spacing w:line="600" w:lineRule="exact"/>
        <w:ind w:firstLine="632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第九条 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除法律、法规禁止的毁林行为外，禁止挖掘腐殖土、苔藓等行为。</w:t>
      </w:r>
    </w:p>
    <w:p>
      <w:pPr>
        <w:spacing w:line="600" w:lineRule="exact"/>
        <w:ind w:firstLine="632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采集柏树、杜鹃、红柳等林木枝叶的，应当征得林木所有权人的同意，并按照林业采集规程进行采集。</w:t>
      </w:r>
    </w:p>
    <w:p>
      <w:pPr>
        <w:spacing w:line="600" w:lineRule="exact"/>
        <w:ind w:firstLine="632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第十条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黑体" w:eastAsia="黑体"/>
          <w:sz w:val="32"/>
          <w:szCs w:val="32"/>
        </w:rPr>
        <w:t xml:space="preserve"> </w:t>
      </w:r>
      <w:r>
        <w:rPr>
          <w:rFonts w:hint="eastAsia" w:ascii="仿宋_GB2312" w:eastAsia="仿宋_GB2312"/>
          <w:sz w:val="32"/>
          <w:szCs w:val="32"/>
        </w:rPr>
        <w:t>禁止在天然林工程保护区和国家重点公益林保护区内从事野炊、宿营等活动。</w:t>
      </w:r>
    </w:p>
    <w:p>
      <w:pPr>
        <w:spacing w:line="600" w:lineRule="exact"/>
        <w:ind w:firstLine="632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其他区域森林内的野炊、宿营等活动，由县人民政府依法制定具体办法加强管理。</w:t>
      </w:r>
    </w:p>
    <w:p>
      <w:pPr>
        <w:spacing w:line="600" w:lineRule="exact"/>
        <w:ind w:firstLine="632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第十一条 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sz w:val="32"/>
          <w:szCs w:val="32"/>
        </w:rPr>
        <w:t>违反本条例规定，有下列行为之一的，由县人民政府林业主管部门责令停止违法行为，没收违法所得，并处罚款：</w:t>
      </w:r>
    </w:p>
    <w:p>
      <w:pPr>
        <w:spacing w:line="600" w:lineRule="exact"/>
        <w:ind w:firstLine="632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（一）</w:t>
      </w:r>
      <w:r>
        <w:rPr>
          <w:rFonts w:hint="eastAsia" w:ascii="仿宋_GB2312" w:eastAsia="仿宋_GB2312"/>
          <w:sz w:val="32"/>
          <w:szCs w:val="32"/>
        </w:rPr>
        <w:t>挖掘腐殖土、苔藓的，按每公斤处以十元罚款；</w:t>
      </w:r>
    </w:p>
    <w:p>
      <w:pPr>
        <w:spacing w:line="600" w:lineRule="exact"/>
        <w:ind w:firstLine="632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（二）</w:t>
      </w:r>
      <w:r>
        <w:rPr>
          <w:rFonts w:hint="eastAsia" w:ascii="仿宋_GB2312" w:eastAsia="仿宋_GB2312"/>
          <w:sz w:val="32"/>
          <w:szCs w:val="32"/>
        </w:rPr>
        <w:t>擅自采集柏树、杜鹃、红柳等林木枝叶的，按每公斤处以五元至二十元罚款。</w:t>
      </w:r>
    </w:p>
    <w:p>
      <w:pPr>
        <w:spacing w:line="600" w:lineRule="exact"/>
        <w:ind w:firstLine="632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第十二条 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sz w:val="32"/>
          <w:szCs w:val="32"/>
        </w:rPr>
        <w:t>违反本条例规定，在天然林工程保护区和国家重点公益林保护区内从事野炊、宿营</w:t>
      </w:r>
      <w:r>
        <w:rPr>
          <w:rFonts w:hint="eastAsia" w:ascii="仿宋_GB2312" w:hAnsi="仿宋_GB2312" w:eastAsia="仿宋_GB2312" w:cs="仿宋_GB2312"/>
          <w:sz w:val="32"/>
          <w:szCs w:val="32"/>
        </w:rPr>
        <w:t>等活动的，由县人民政府林业主管部门责令停止违法行为，并处五</w:t>
      </w:r>
      <w:r>
        <w:rPr>
          <w:rFonts w:hint="eastAsia" w:ascii="仿宋_GB2312" w:eastAsia="仿宋_GB2312"/>
          <w:sz w:val="32"/>
          <w:szCs w:val="32"/>
        </w:rPr>
        <w:t>十元罚款。</w:t>
      </w:r>
    </w:p>
    <w:p>
      <w:pPr>
        <w:spacing w:line="600" w:lineRule="exact"/>
        <w:ind w:firstLine="632" w:firstLineChars="200"/>
      </w:pPr>
      <w:r>
        <w:rPr>
          <w:rFonts w:hint="eastAsia" w:ascii="黑体" w:hAnsi="黑体" w:eastAsia="黑体" w:cs="黑体"/>
          <w:sz w:val="32"/>
          <w:szCs w:val="32"/>
        </w:rPr>
        <w:t>第十三条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</w:t>
      </w:r>
      <w:r>
        <w:rPr>
          <w:rFonts w:hint="eastAsia" w:ascii="仿宋_GB2312" w:hAnsi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本条例自2018年11月1日起施行。1994年4月28日门源回族自治县第十二届人民代表大会第二次会议通过，1995年7月29日青海省第八届人民代表大会常务委员会第十九次会议批准的《门源回族自治县森林管护条例》同时废止。</w:t>
      </w:r>
    </w:p>
    <w:p/>
    <w:sectPr>
      <w:footerReference r:id="rId3" w:type="default"/>
      <w:footerReference r:id="rId4" w:type="even"/>
      <w:pgSz w:w="11906" w:h="16838"/>
      <w:pgMar w:top="2041" w:right="1531" w:bottom="2041" w:left="1531" w:header="851" w:footer="1644" w:gutter="0"/>
      <w:pgNumType w:fmt="numberInDash"/>
      <w:cols w:space="0" w:num="1"/>
      <w:rtlGutter w:val="0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_GBK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32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32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right="0" w:rightChars="0"/>
                            <w:jc w:val="both"/>
                            <w:textAlignment w:val="auto"/>
                            <w:outlineLvl w:val="9"/>
                            <w:rPr>
                              <w:rFonts w:hint="eastAsia" w:eastAsia="仿宋_GB2312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right="0" w:rightChars="0"/>
                      <w:jc w:val="both"/>
                      <w:textAlignment w:val="auto"/>
                      <w:outlineLvl w:val="9"/>
                      <w:rPr>
                        <w:rFonts w:hint="eastAsia" w:eastAsia="仿宋_GB2312"/>
                        <w:sz w:val="1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29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5A2A2D"/>
    <w:rsid w:val="2FD869FA"/>
    <w:rsid w:val="413A41FE"/>
    <w:rsid w:val="5B98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2018-10-10T08:13:15Z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